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2"/>
        <w:ind w:left="0" w:right="22" w:firstLine="0"/>
        <w:jc w:val="right"/>
        <w:rPr>
          <w:rFonts w:ascii="Calibri"/>
          <w:b/>
          <w:sz w:val="22"/>
        </w:rPr>
      </w:pPr>
      <w:r>
        <w:rPr>
          <w:rFonts w:ascii="Calibri"/>
          <w:b/>
          <w:spacing w:val="-2"/>
          <w:sz w:val="22"/>
        </w:rPr>
        <w:t>Penal</w:t>
      </w:r>
    </w:p>
    <w:p>
      <w:pPr>
        <w:pStyle w:val="BodyText"/>
        <w:spacing w:before="267"/>
        <w:rPr>
          <w:rFonts w:ascii="Calibri"/>
          <w:b/>
          <w:sz w:val="22"/>
        </w:rPr>
      </w:pPr>
    </w:p>
    <w:p>
      <w:pPr>
        <w:spacing w:line="360" w:lineRule="auto" w:before="0"/>
        <w:ind w:left="2535" w:right="0" w:hanging="2262"/>
        <w:jc w:val="left"/>
        <w:rPr>
          <w:rFonts w:ascii="Calibri" w:hAnsi="Calibri"/>
          <w:b/>
          <w:sz w:val="22"/>
        </w:rPr>
      </w:pPr>
      <w:r>
        <w:rPr>
          <w:rFonts w:ascii="Calibri" w:hAnsi="Calibri"/>
          <w:b/>
          <w:sz w:val="22"/>
        </w:rPr>
        <w:t>Se</w:t>
      </w:r>
      <w:r>
        <w:rPr>
          <w:rFonts w:ascii="Calibri" w:hAnsi="Calibri"/>
          <w:b/>
          <w:spacing w:val="-3"/>
          <w:sz w:val="22"/>
        </w:rPr>
        <w:t> </w:t>
      </w:r>
      <w:r>
        <w:rPr>
          <w:rFonts w:ascii="Calibri" w:hAnsi="Calibri"/>
          <w:b/>
          <w:sz w:val="22"/>
        </w:rPr>
        <w:t>cambia</w:t>
      </w:r>
      <w:r>
        <w:rPr>
          <w:rFonts w:ascii="Calibri" w:hAnsi="Calibri"/>
          <w:b/>
          <w:spacing w:val="-5"/>
          <w:sz w:val="22"/>
        </w:rPr>
        <w:t> </w:t>
      </w:r>
      <w:r>
        <w:rPr>
          <w:rFonts w:ascii="Calibri" w:hAnsi="Calibri"/>
          <w:b/>
          <w:sz w:val="22"/>
        </w:rPr>
        <w:t>calificación</w:t>
      </w:r>
      <w:r>
        <w:rPr>
          <w:rFonts w:ascii="Calibri" w:hAnsi="Calibri"/>
          <w:b/>
          <w:spacing w:val="-3"/>
          <w:sz w:val="22"/>
        </w:rPr>
        <w:t> </w:t>
      </w:r>
      <w:r>
        <w:rPr>
          <w:rFonts w:ascii="Calibri" w:hAnsi="Calibri"/>
          <w:b/>
          <w:sz w:val="22"/>
        </w:rPr>
        <w:t>de</w:t>
      </w:r>
      <w:r>
        <w:rPr>
          <w:rFonts w:ascii="Calibri" w:hAnsi="Calibri"/>
          <w:b/>
          <w:spacing w:val="-4"/>
          <w:sz w:val="22"/>
        </w:rPr>
        <w:t> </w:t>
      </w:r>
      <w:r>
        <w:rPr>
          <w:rFonts w:ascii="Calibri" w:hAnsi="Calibri"/>
          <w:b/>
          <w:sz w:val="22"/>
        </w:rPr>
        <w:t>delito</w:t>
      </w:r>
      <w:r>
        <w:rPr>
          <w:rFonts w:ascii="Calibri" w:hAnsi="Calibri"/>
          <w:b/>
          <w:spacing w:val="-3"/>
          <w:sz w:val="22"/>
        </w:rPr>
        <w:t> </w:t>
      </w:r>
      <w:r>
        <w:rPr>
          <w:rFonts w:ascii="Calibri" w:hAnsi="Calibri"/>
          <w:b/>
          <w:sz w:val="22"/>
        </w:rPr>
        <w:t>de</w:t>
      </w:r>
      <w:r>
        <w:rPr>
          <w:rFonts w:ascii="Calibri" w:hAnsi="Calibri"/>
          <w:b/>
          <w:spacing w:val="-2"/>
          <w:sz w:val="22"/>
        </w:rPr>
        <w:t> </w:t>
      </w:r>
      <w:r>
        <w:rPr>
          <w:rFonts w:ascii="Calibri" w:hAnsi="Calibri"/>
          <w:b/>
          <w:sz w:val="22"/>
        </w:rPr>
        <w:t>“hurto</w:t>
      </w:r>
      <w:r>
        <w:rPr>
          <w:rFonts w:ascii="Calibri" w:hAnsi="Calibri"/>
          <w:b/>
          <w:spacing w:val="-3"/>
          <w:sz w:val="22"/>
        </w:rPr>
        <w:t> </w:t>
      </w:r>
      <w:r>
        <w:rPr>
          <w:rFonts w:ascii="Calibri" w:hAnsi="Calibri"/>
          <w:b/>
          <w:sz w:val="22"/>
        </w:rPr>
        <w:t>agravado”</w:t>
      </w:r>
      <w:r>
        <w:rPr>
          <w:rFonts w:ascii="Calibri" w:hAnsi="Calibri"/>
          <w:b/>
          <w:spacing w:val="-4"/>
          <w:sz w:val="22"/>
        </w:rPr>
        <w:t> </w:t>
      </w:r>
      <w:r>
        <w:rPr>
          <w:rFonts w:ascii="Calibri" w:hAnsi="Calibri"/>
          <w:b/>
          <w:sz w:val="22"/>
        </w:rPr>
        <w:t>a</w:t>
      </w:r>
      <w:r>
        <w:rPr>
          <w:rFonts w:ascii="Calibri" w:hAnsi="Calibri"/>
          <w:b/>
          <w:spacing w:val="-3"/>
          <w:sz w:val="22"/>
        </w:rPr>
        <w:t> </w:t>
      </w:r>
      <w:r>
        <w:rPr>
          <w:rFonts w:ascii="Calibri" w:hAnsi="Calibri"/>
          <w:b/>
          <w:sz w:val="22"/>
        </w:rPr>
        <w:t>“hurto</w:t>
      </w:r>
      <w:r>
        <w:rPr>
          <w:rFonts w:ascii="Calibri" w:hAnsi="Calibri"/>
          <w:b/>
          <w:spacing w:val="-3"/>
          <w:sz w:val="22"/>
        </w:rPr>
        <w:t> </w:t>
      </w:r>
      <w:r>
        <w:rPr>
          <w:rFonts w:ascii="Calibri" w:hAnsi="Calibri"/>
          <w:b/>
          <w:sz w:val="22"/>
        </w:rPr>
        <w:t>simple”</w:t>
      </w:r>
      <w:r>
        <w:rPr>
          <w:rFonts w:ascii="Calibri" w:hAnsi="Calibri"/>
          <w:b/>
          <w:spacing w:val="-1"/>
          <w:sz w:val="22"/>
        </w:rPr>
        <w:t> </w:t>
      </w:r>
      <w:r>
        <w:rPr>
          <w:rFonts w:ascii="Calibri" w:hAnsi="Calibri"/>
          <w:b/>
          <w:sz w:val="22"/>
        </w:rPr>
        <w:t>por</w:t>
      </w:r>
      <w:r>
        <w:rPr>
          <w:rFonts w:ascii="Calibri" w:hAnsi="Calibri"/>
          <w:b/>
          <w:spacing w:val="-2"/>
          <w:sz w:val="22"/>
        </w:rPr>
        <w:t> </w:t>
      </w:r>
      <w:r>
        <w:rPr>
          <w:rFonts w:ascii="Calibri" w:hAnsi="Calibri"/>
          <w:b/>
          <w:sz w:val="22"/>
        </w:rPr>
        <w:t>no</w:t>
      </w:r>
      <w:r>
        <w:rPr>
          <w:rFonts w:ascii="Calibri" w:hAnsi="Calibri"/>
          <w:b/>
          <w:spacing w:val="-4"/>
          <w:sz w:val="22"/>
        </w:rPr>
        <w:t> </w:t>
      </w:r>
      <w:r>
        <w:rPr>
          <w:rFonts w:ascii="Calibri" w:hAnsi="Calibri"/>
          <w:b/>
          <w:sz w:val="22"/>
        </w:rPr>
        <w:t>haber</w:t>
      </w:r>
      <w:r>
        <w:rPr>
          <w:rFonts w:ascii="Calibri" w:hAnsi="Calibri"/>
          <w:b/>
          <w:spacing w:val="-2"/>
          <w:sz w:val="22"/>
        </w:rPr>
        <w:t> </w:t>
      </w:r>
      <w:r>
        <w:rPr>
          <w:rFonts w:ascii="Calibri" w:hAnsi="Calibri"/>
          <w:b/>
          <w:sz w:val="22"/>
        </w:rPr>
        <w:t>podido</w:t>
      </w:r>
      <w:r>
        <w:rPr>
          <w:rFonts w:ascii="Calibri" w:hAnsi="Calibri"/>
          <w:b/>
          <w:spacing w:val="-3"/>
          <w:sz w:val="22"/>
        </w:rPr>
        <w:t> </w:t>
      </w:r>
      <w:r>
        <w:rPr>
          <w:rFonts w:ascii="Calibri" w:hAnsi="Calibri"/>
          <w:b/>
          <w:sz w:val="22"/>
        </w:rPr>
        <w:t>conocer disminución auditiva y del habla del damnificado.</w:t>
      </w:r>
    </w:p>
    <w:p>
      <w:pPr>
        <w:pStyle w:val="BodyText"/>
        <w:spacing w:before="152"/>
        <w:rPr>
          <w:rFonts w:ascii="Calibri"/>
          <w:b/>
          <w:sz w:val="22"/>
        </w:rPr>
      </w:pPr>
    </w:p>
    <w:p>
      <w:pPr>
        <w:spacing w:before="0"/>
        <w:ind w:left="2" w:right="0" w:firstLine="0"/>
        <w:jc w:val="center"/>
        <w:rPr>
          <w:rFonts w:ascii="Calibri" w:hAnsi="Calibri"/>
          <w:b/>
          <w:sz w:val="22"/>
        </w:rPr>
      </w:pPr>
      <w:r>
        <w:rPr>
          <w:rFonts w:ascii="Calibri" w:hAnsi="Calibri"/>
          <w:b/>
          <w:sz w:val="22"/>
        </w:rPr>
        <w:t>“CCC</w:t>
      </w:r>
      <w:r>
        <w:rPr>
          <w:rFonts w:ascii="Calibri" w:hAnsi="Calibri"/>
          <w:b/>
          <w:spacing w:val="-10"/>
          <w:sz w:val="22"/>
        </w:rPr>
        <w:t> </w:t>
      </w:r>
      <w:r>
        <w:rPr>
          <w:rFonts w:ascii="Calibri" w:hAnsi="Calibri"/>
          <w:b/>
          <w:sz w:val="22"/>
        </w:rPr>
        <w:t>61159/2024/CA2</w:t>
      </w:r>
      <w:r>
        <w:rPr>
          <w:rFonts w:ascii="Calibri" w:hAnsi="Calibri"/>
          <w:b/>
          <w:spacing w:val="-8"/>
          <w:sz w:val="22"/>
        </w:rPr>
        <w:t> </w:t>
      </w:r>
      <w:r>
        <w:rPr>
          <w:rFonts w:ascii="Calibri" w:hAnsi="Calibri"/>
          <w:b/>
          <w:sz w:val="22"/>
        </w:rPr>
        <w:t>"Vizcarra,</w:t>
      </w:r>
      <w:r>
        <w:rPr>
          <w:rFonts w:ascii="Calibri" w:hAnsi="Calibri"/>
          <w:b/>
          <w:spacing w:val="-6"/>
          <w:sz w:val="22"/>
        </w:rPr>
        <w:t> </w:t>
      </w:r>
      <w:r>
        <w:rPr>
          <w:rFonts w:ascii="Calibri" w:hAnsi="Calibri"/>
          <w:b/>
          <w:sz w:val="22"/>
        </w:rPr>
        <w:t>S.</w:t>
      </w:r>
      <w:r>
        <w:rPr>
          <w:rFonts w:ascii="Calibri" w:hAnsi="Calibri"/>
          <w:b/>
          <w:spacing w:val="-9"/>
          <w:sz w:val="22"/>
        </w:rPr>
        <w:t> </w:t>
      </w:r>
      <w:r>
        <w:rPr>
          <w:rFonts w:ascii="Calibri" w:hAnsi="Calibri"/>
          <w:b/>
          <w:sz w:val="22"/>
        </w:rPr>
        <w:t>D</w:t>
      </w:r>
      <w:r>
        <w:rPr>
          <w:rFonts w:ascii="Calibri" w:hAnsi="Calibri"/>
          <w:b/>
          <w:spacing w:val="-9"/>
          <w:sz w:val="22"/>
        </w:rPr>
        <w:t> </w:t>
      </w:r>
      <w:r>
        <w:rPr>
          <w:rFonts w:ascii="Calibri" w:hAnsi="Calibri"/>
          <w:b/>
          <w:sz w:val="22"/>
        </w:rPr>
        <w:t>s/procesamiento"</w:t>
      </w:r>
      <w:r>
        <w:rPr>
          <w:rFonts w:ascii="Calibri" w:hAnsi="Calibri"/>
          <w:b/>
          <w:spacing w:val="-8"/>
          <w:sz w:val="22"/>
        </w:rPr>
        <w:t> </w:t>
      </w:r>
      <w:r>
        <w:rPr>
          <w:rFonts w:ascii="Calibri" w:hAnsi="Calibri"/>
          <w:b/>
          <w:spacing w:val="-2"/>
          <w:sz w:val="22"/>
        </w:rPr>
        <w:t>(FD/MR)”</w:t>
      </w:r>
    </w:p>
    <w:p>
      <w:pPr>
        <w:pStyle w:val="BodyText"/>
        <w:rPr>
          <w:rFonts w:ascii="Calibri"/>
          <w:b/>
          <w:sz w:val="22"/>
        </w:rPr>
      </w:pPr>
    </w:p>
    <w:p>
      <w:pPr>
        <w:pStyle w:val="BodyText"/>
        <w:rPr>
          <w:rFonts w:ascii="Calibri"/>
          <w:b/>
          <w:sz w:val="22"/>
        </w:rPr>
      </w:pPr>
    </w:p>
    <w:p>
      <w:pPr>
        <w:pStyle w:val="BodyText"/>
        <w:spacing w:before="25"/>
        <w:rPr>
          <w:rFonts w:ascii="Calibri"/>
          <w:b/>
          <w:sz w:val="22"/>
        </w:rPr>
      </w:pPr>
    </w:p>
    <w:p>
      <w:pPr>
        <w:pStyle w:val="BodyText"/>
        <w:ind w:left="262"/>
      </w:pPr>
      <w:r>
        <w:rPr>
          <w:rFonts w:ascii="Calibri"/>
          <w:sz w:val="22"/>
        </w:rPr>
        <w:t>En</w:t>
      </w:r>
      <w:r>
        <w:rPr>
          <w:rFonts w:ascii="Calibri"/>
          <w:spacing w:val="-1"/>
          <w:sz w:val="22"/>
        </w:rPr>
        <w:t> </w:t>
      </w:r>
      <w:r>
        <w:rPr>
          <w:rFonts w:ascii="Calibri"/>
          <w:sz w:val="22"/>
        </w:rPr>
        <w:t>Bue</w:t>
      </w:r>
      <w:r>
        <w:rPr/>
        <w:t>nos</w:t>
      </w:r>
      <w:r>
        <w:rPr>
          <w:spacing w:val="-1"/>
        </w:rPr>
        <w:t> </w:t>
      </w:r>
      <w:r>
        <w:rPr/>
        <w:t>Aires,</w:t>
      </w:r>
      <w:r>
        <w:rPr>
          <w:spacing w:val="-1"/>
        </w:rPr>
        <w:t> </w:t>
      </w:r>
      <w:r>
        <w:rPr/>
        <w:t>4</w:t>
      </w:r>
      <w:r>
        <w:rPr>
          <w:spacing w:val="-1"/>
        </w:rPr>
        <w:t> </w:t>
      </w:r>
      <w:r>
        <w:rPr/>
        <w:t>de</w:t>
      </w:r>
      <w:r>
        <w:rPr>
          <w:spacing w:val="-2"/>
        </w:rPr>
        <w:t> </w:t>
      </w:r>
      <w:r>
        <w:rPr/>
        <w:t>diciembre</w:t>
      </w:r>
      <w:r>
        <w:rPr>
          <w:spacing w:val="-3"/>
        </w:rPr>
        <w:t> </w:t>
      </w:r>
      <w:r>
        <w:rPr/>
        <w:t>de</w:t>
      </w:r>
      <w:r>
        <w:rPr>
          <w:spacing w:val="-1"/>
        </w:rPr>
        <w:t> </w:t>
      </w:r>
      <w:r>
        <w:rPr>
          <w:spacing w:val="-2"/>
        </w:rPr>
        <w:t>2024.</w:t>
      </w:r>
    </w:p>
    <w:p>
      <w:pPr>
        <w:pStyle w:val="BodyText"/>
      </w:pPr>
    </w:p>
    <w:p>
      <w:pPr>
        <w:pStyle w:val="BodyText"/>
      </w:pPr>
    </w:p>
    <w:p>
      <w:pPr>
        <w:pStyle w:val="BodyText"/>
      </w:pPr>
    </w:p>
    <w:p>
      <w:pPr>
        <w:pStyle w:val="BodyText"/>
        <w:spacing w:before="5"/>
      </w:pPr>
    </w:p>
    <w:p>
      <w:pPr>
        <w:pStyle w:val="BodyText"/>
        <w:spacing w:before="1"/>
        <w:ind w:left="262"/>
      </w:pPr>
      <w:r>
        <w:rPr/>
        <w:t>VISTOS</w:t>
      </w:r>
      <w:r>
        <w:rPr>
          <w:spacing w:val="-3"/>
        </w:rPr>
        <w:t> </w:t>
      </w:r>
      <w:r>
        <w:rPr/>
        <w:t>Y</w:t>
      </w:r>
      <w:r>
        <w:rPr>
          <w:spacing w:val="-2"/>
        </w:rPr>
        <w:t> CONSIDERANDO:</w:t>
      </w:r>
    </w:p>
    <w:p>
      <w:pPr>
        <w:pStyle w:val="BodyText"/>
        <w:spacing w:before="141"/>
      </w:pPr>
    </w:p>
    <w:p>
      <w:pPr>
        <w:pStyle w:val="ListParagraph"/>
        <w:numPr>
          <w:ilvl w:val="0"/>
          <w:numId w:val="1"/>
        </w:numPr>
        <w:tabs>
          <w:tab w:pos="1206" w:val="left" w:leader="none"/>
        </w:tabs>
        <w:spacing w:line="360" w:lineRule="auto" w:before="0" w:after="0"/>
        <w:ind w:left="262" w:right="262" w:firstLine="707"/>
        <w:jc w:val="both"/>
        <w:rPr>
          <w:sz w:val="24"/>
        </w:rPr>
      </w:pPr>
      <w:r>
        <w:rPr>
          <w:sz w:val="24"/>
        </w:rPr>
        <w:t>El Juez de grado decretó el procesamiento de S. D. Vizcarra, como autor del delito de hurto agravado por el aprovechamiento de un infortunio particular del</w:t>
      </w:r>
      <w:r>
        <w:rPr>
          <w:spacing w:val="40"/>
          <w:sz w:val="24"/>
        </w:rPr>
        <w:t> </w:t>
      </w:r>
      <w:r>
        <w:rPr>
          <w:sz w:val="24"/>
        </w:rPr>
        <w:t>damnificado (artículos 45 y</w:t>
      </w:r>
      <w:r>
        <w:rPr>
          <w:spacing w:val="-5"/>
          <w:sz w:val="24"/>
        </w:rPr>
        <w:t> </w:t>
      </w:r>
      <w:r>
        <w:rPr>
          <w:sz w:val="24"/>
        </w:rPr>
        <w:t>163 inc. 2do del Código Penal de</w:t>
      </w:r>
      <w:r>
        <w:rPr>
          <w:spacing w:val="-1"/>
          <w:sz w:val="24"/>
        </w:rPr>
        <w:t> </w:t>
      </w:r>
      <w:r>
        <w:rPr>
          <w:sz w:val="24"/>
        </w:rPr>
        <w:t>la</w:t>
      </w:r>
      <w:r>
        <w:rPr>
          <w:spacing w:val="-1"/>
          <w:sz w:val="24"/>
        </w:rPr>
        <w:t> </w:t>
      </w:r>
      <w:r>
        <w:rPr>
          <w:sz w:val="24"/>
        </w:rPr>
        <w:t>Nación) resolución que</w:t>
      </w:r>
      <w:r>
        <w:rPr>
          <w:spacing w:val="-1"/>
          <w:sz w:val="24"/>
        </w:rPr>
        <w:t> </w:t>
      </w:r>
      <w:r>
        <w:rPr>
          <w:sz w:val="24"/>
        </w:rPr>
        <w:t>fue apelada por la defensa. Conforme lo ordenado en el legajo, la parte recurrente presentó mediante el Sistema de Gestión Judicial Lex100 el memorial sustitutivo de la audiencia oral. Finalizada la deliberación, el Tribunal se encuentra en condiciones de resolver.</w:t>
      </w:r>
    </w:p>
    <w:p>
      <w:pPr>
        <w:pStyle w:val="BodyText"/>
        <w:spacing w:before="5"/>
      </w:pPr>
    </w:p>
    <w:p>
      <w:pPr>
        <w:pStyle w:val="ListParagraph"/>
        <w:numPr>
          <w:ilvl w:val="0"/>
          <w:numId w:val="1"/>
        </w:numPr>
        <w:tabs>
          <w:tab w:pos="1274" w:val="left" w:leader="none"/>
        </w:tabs>
        <w:spacing w:line="360" w:lineRule="auto" w:before="1" w:after="0"/>
        <w:ind w:left="262" w:right="257" w:firstLine="707"/>
        <w:jc w:val="both"/>
        <w:rPr>
          <w:sz w:val="24"/>
        </w:rPr>
      </w:pPr>
      <w:r>
        <w:rPr>
          <w:sz w:val="24"/>
        </w:rPr>
        <w:t>No se encuentra controvertida la materialidad del hecho, ni la participación de Vizcarra en él, los agravios de la defensa se dirigen a cuestionar la calificación legal aplicada al caso. En este aspecto, corresponde mencionar que, de adverso a lo señalado por la defensa las constancias de autos, correctamente valoradas por el juez a quo, persuaden al Tribunal acerca de que, efectivamente, el imputado se representó la ajenidad del bien sustraído y tuvo intenciones de apoderarse ilegítimamente de él. En primer lugar, por la inmediatez acaecida entre que el teléfono cayó al piso y el damnificado advirtió que no lo tenía, lo que sugiere que la situación fue observada por el imputado. Pero, además, porque instantes después Vizcarra fue increpado por la víctima -y su amigo- con el objeto de que procediera a su devolución, lo que diluye toda duda sobre su origen y la posibilidad de que se</w:t>
      </w:r>
      <w:r>
        <w:rPr>
          <w:spacing w:val="6"/>
          <w:sz w:val="24"/>
        </w:rPr>
        <w:t> </w:t>
      </w:r>
      <w:r>
        <w:rPr>
          <w:sz w:val="24"/>
        </w:rPr>
        <w:t>tratara</w:t>
      </w:r>
      <w:r>
        <w:rPr>
          <w:spacing w:val="7"/>
          <w:sz w:val="24"/>
        </w:rPr>
        <w:t> </w:t>
      </w:r>
      <w:r>
        <w:rPr>
          <w:sz w:val="24"/>
        </w:rPr>
        <w:t>de</w:t>
      </w:r>
      <w:r>
        <w:rPr>
          <w:spacing w:val="8"/>
          <w:sz w:val="24"/>
        </w:rPr>
        <w:t> </w:t>
      </w:r>
      <w:r>
        <w:rPr>
          <w:sz w:val="24"/>
        </w:rPr>
        <w:t>un</w:t>
      </w:r>
      <w:r>
        <w:rPr>
          <w:spacing w:val="11"/>
          <w:sz w:val="24"/>
        </w:rPr>
        <w:t> </w:t>
      </w:r>
      <w:r>
        <w:rPr>
          <w:sz w:val="24"/>
        </w:rPr>
        <w:t>objeto</w:t>
      </w:r>
      <w:r>
        <w:rPr>
          <w:spacing w:val="9"/>
          <w:sz w:val="24"/>
        </w:rPr>
        <w:t> </w:t>
      </w:r>
      <w:r>
        <w:rPr>
          <w:sz w:val="24"/>
        </w:rPr>
        <w:t>abandonado</w:t>
      </w:r>
      <w:r>
        <w:rPr>
          <w:spacing w:val="10"/>
          <w:sz w:val="24"/>
        </w:rPr>
        <w:t> </w:t>
      </w:r>
      <w:r>
        <w:rPr>
          <w:sz w:val="24"/>
        </w:rPr>
        <w:t>o</w:t>
      </w:r>
      <w:r>
        <w:rPr>
          <w:spacing w:val="11"/>
          <w:sz w:val="24"/>
        </w:rPr>
        <w:t> </w:t>
      </w:r>
      <w:r>
        <w:rPr>
          <w:sz w:val="24"/>
        </w:rPr>
        <w:t>perdido.</w:t>
      </w:r>
      <w:r>
        <w:rPr>
          <w:spacing w:val="11"/>
          <w:sz w:val="24"/>
        </w:rPr>
        <w:t> </w:t>
      </w:r>
      <w:r>
        <w:rPr>
          <w:sz w:val="24"/>
        </w:rPr>
        <w:t>El</w:t>
      </w:r>
      <w:r>
        <w:rPr>
          <w:spacing w:val="9"/>
          <w:sz w:val="24"/>
        </w:rPr>
        <w:t> </w:t>
      </w:r>
      <w:r>
        <w:rPr>
          <w:sz w:val="24"/>
        </w:rPr>
        <w:t>intento</w:t>
      </w:r>
      <w:r>
        <w:rPr>
          <w:spacing w:val="9"/>
          <w:sz w:val="24"/>
        </w:rPr>
        <w:t> </w:t>
      </w:r>
      <w:r>
        <w:rPr>
          <w:sz w:val="24"/>
        </w:rPr>
        <w:t>de</w:t>
      </w:r>
      <w:r>
        <w:rPr>
          <w:spacing w:val="11"/>
          <w:sz w:val="24"/>
        </w:rPr>
        <w:t> </w:t>
      </w:r>
      <w:r>
        <w:rPr>
          <w:sz w:val="24"/>
        </w:rPr>
        <w:t>fuga</w:t>
      </w:r>
      <w:r>
        <w:rPr>
          <w:spacing w:val="8"/>
          <w:sz w:val="24"/>
        </w:rPr>
        <w:t> </w:t>
      </w:r>
      <w:r>
        <w:rPr>
          <w:sz w:val="24"/>
        </w:rPr>
        <w:t>posterior</w:t>
      </w:r>
      <w:r>
        <w:rPr>
          <w:spacing w:val="12"/>
          <w:sz w:val="24"/>
        </w:rPr>
        <w:t> </w:t>
      </w:r>
      <w:r>
        <w:rPr>
          <w:sz w:val="24"/>
        </w:rPr>
        <w:t>y</w:t>
      </w:r>
      <w:r>
        <w:rPr>
          <w:spacing w:val="6"/>
          <w:sz w:val="24"/>
        </w:rPr>
        <w:t> </w:t>
      </w:r>
      <w:r>
        <w:rPr>
          <w:sz w:val="24"/>
        </w:rPr>
        <w:t>el</w:t>
      </w:r>
      <w:r>
        <w:rPr>
          <w:spacing w:val="9"/>
          <w:sz w:val="24"/>
        </w:rPr>
        <w:t> </w:t>
      </w:r>
      <w:r>
        <w:rPr>
          <w:sz w:val="24"/>
        </w:rPr>
        <w:t>descarte</w:t>
      </w:r>
      <w:r>
        <w:rPr>
          <w:spacing w:val="9"/>
          <w:sz w:val="24"/>
        </w:rPr>
        <w:t> </w:t>
      </w:r>
      <w:r>
        <w:rPr>
          <w:spacing w:val="-5"/>
          <w:sz w:val="24"/>
        </w:rPr>
        <w:t>del</w:t>
      </w:r>
    </w:p>
    <w:p>
      <w:pPr>
        <w:pStyle w:val="ListParagraph"/>
        <w:spacing w:after="0" w:line="360" w:lineRule="auto"/>
        <w:jc w:val="both"/>
        <w:rPr>
          <w:sz w:val="24"/>
        </w:rPr>
        <w:sectPr>
          <w:headerReference w:type="default" r:id="rId5"/>
          <w:footerReference w:type="default" r:id="rId6"/>
          <w:type w:val="continuous"/>
          <w:pgSz w:w="12240" w:h="15840"/>
          <w:pgMar w:header="294" w:footer="961" w:top="1780" w:bottom="1160" w:left="1440" w:right="1440"/>
          <w:pgNumType w:start="1"/>
        </w:sectPr>
      </w:pPr>
    </w:p>
    <w:p>
      <w:pPr>
        <w:pStyle w:val="BodyText"/>
        <w:spacing w:line="360" w:lineRule="auto" w:before="80"/>
        <w:ind w:left="262" w:right="254"/>
        <w:jc w:val="both"/>
      </w:pPr>
      <w:r>
        <w:rPr/>
        <w:t>elemento durante</w:t>
      </w:r>
      <w:r>
        <w:rPr>
          <w:spacing w:val="-1"/>
        </w:rPr>
        <w:t> </w:t>
      </w:r>
      <w:r>
        <w:rPr/>
        <w:t>la</w:t>
      </w:r>
      <w:r>
        <w:rPr>
          <w:spacing w:val="-1"/>
        </w:rPr>
        <w:t> </w:t>
      </w:r>
      <w:r>
        <w:rPr/>
        <w:t>huida, sustentan</w:t>
      </w:r>
      <w:r>
        <w:rPr>
          <w:spacing w:val="-1"/>
        </w:rPr>
        <w:t> </w:t>
      </w:r>
      <w:r>
        <w:rPr/>
        <w:t>la hipótesis delictiva</w:t>
      </w:r>
      <w:r>
        <w:rPr>
          <w:spacing w:val="-1"/>
        </w:rPr>
        <w:t> </w:t>
      </w:r>
      <w:r>
        <w:rPr/>
        <w:t>en cuestión. Ello, sin perjuicio de que se evalúe la pertinencia y utilidad de convocar a prestar declaración en sede judicial al damnificado, garantizándosele la asistencia que requiera para el acto. En cuanto a la aplicación de la agravante contenida en el inc. 2 del art. 163 del Código Penal, el hecho de que el damnificado padezca una disminución auditiva y</w:t>
      </w:r>
      <w:r>
        <w:rPr>
          <w:spacing w:val="-3"/>
        </w:rPr>
        <w:t> </w:t>
      </w:r>
      <w:r>
        <w:rPr/>
        <w:t>del habla, como la circunstancia de que se le hubiera caído el celular del bolsillo de su pantalón, no permiten sostener que el apoderamiento se haya cometido aprovechando las facilidades provenientes de un</w:t>
      </w:r>
      <w:r>
        <w:rPr>
          <w:spacing w:val="40"/>
        </w:rPr>
        <w:t> </w:t>
      </w:r>
      <w:r>
        <w:rPr/>
        <w:t>infortunio particular del damnificado. Al respecto se ha dicho que “... por una parte se resguarda la minoración de la custodia de los bienes, y por otra, se reprime la mayor crueldad del delincuente que, frente al cuadro desgraciado que afecta a la víctima, no se abstiene de menoscabar sus intereses sino que incluso aprovecha él a tales fines” (cfr. D. Baigún, E. Zaffaroni, “Código Penal y normas complementarias – Análisis doctrinal y jurisprudencial”, tomo 6, 1ra edición, Hammurabi, 2009, p.137/138). Es que, no puede predicarse que haya existido por parte del imputado un aprovechamiento de la dificultad</w:t>
      </w:r>
      <w:r>
        <w:rPr>
          <w:spacing w:val="40"/>
        </w:rPr>
        <w:t> </w:t>
      </w:r>
      <w:r>
        <w:rPr/>
        <w:t>que padecería la víctima y que claramente aquél no podía conocer, para apoderarse del teléfono. Por ello, habrá de confirmarse el procesamiento dispuesto en orden al delito de hurto simple (art. 162 del Código Penal).</w:t>
      </w:r>
    </w:p>
    <w:p>
      <w:pPr>
        <w:pStyle w:val="BodyText"/>
        <w:spacing w:before="2"/>
      </w:pPr>
    </w:p>
    <w:p>
      <w:pPr>
        <w:pStyle w:val="ListParagraph"/>
        <w:numPr>
          <w:ilvl w:val="0"/>
          <w:numId w:val="1"/>
        </w:numPr>
        <w:tabs>
          <w:tab w:pos="1412" w:val="left" w:leader="none"/>
        </w:tabs>
        <w:spacing w:line="360" w:lineRule="auto" w:before="0" w:after="0"/>
        <w:ind w:left="262" w:right="261" w:firstLine="707"/>
        <w:jc w:val="both"/>
        <w:rPr>
          <w:sz w:val="24"/>
        </w:rPr>
      </w:pPr>
      <w:r>
        <w:rPr>
          <w:sz w:val="24"/>
        </w:rPr>
        <w:t>En función de ello, el Tribunal RESUELVE: CONFIRMAR la decisión impugnada, modificando la calificación legal asignada por la de hurto simple (art. 162 CP). Se deja constancia que el juez Rodolfo Pociello Argerich no suscribe la presente al haberse alcanzado la mayoría requerida por el artículo 24 bis, in fine, CPPN. Notifíquese por cédulas electrónicas y a la víctima, y devuélvase mediante pase en el Sistema Lex 100. Sirva la presente de muy atenta nota.</w:t>
      </w:r>
    </w:p>
    <w:p>
      <w:pPr>
        <w:pStyle w:val="BodyText"/>
      </w:pPr>
    </w:p>
    <w:p>
      <w:pPr>
        <w:pStyle w:val="BodyText"/>
      </w:pPr>
    </w:p>
    <w:p>
      <w:pPr>
        <w:pStyle w:val="BodyText"/>
        <w:spacing w:before="147"/>
      </w:pPr>
    </w:p>
    <w:p>
      <w:pPr>
        <w:pStyle w:val="BodyText"/>
        <w:spacing w:line="602" w:lineRule="auto" w:before="1"/>
        <w:ind w:left="970" w:right="5665"/>
      </w:pPr>
      <w:r>
        <w:rPr/>
        <w:t>Ricardo</w:t>
      </w:r>
      <w:r>
        <w:rPr>
          <w:spacing w:val="-1"/>
        </w:rPr>
        <w:t> </w:t>
      </w:r>
      <w:r>
        <w:rPr/>
        <w:t>Matías</w:t>
      </w:r>
      <w:r>
        <w:rPr>
          <w:spacing w:val="-1"/>
        </w:rPr>
        <w:t> </w:t>
      </w:r>
      <w:r>
        <w:rPr/>
        <w:t>Pinto Hernán</w:t>
      </w:r>
      <w:r>
        <w:rPr>
          <w:spacing w:val="-4"/>
        </w:rPr>
        <w:t> </w:t>
      </w:r>
      <w:r>
        <w:rPr/>
        <w:t>Martín</w:t>
      </w:r>
      <w:r>
        <w:rPr>
          <w:spacing w:val="1"/>
        </w:rPr>
        <w:t> </w:t>
      </w:r>
      <w:r>
        <w:rPr>
          <w:spacing w:val="-4"/>
        </w:rPr>
        <w:t>López</w:t>
      </w:r>
    </w:p>
    <w:p>
      <w:pPr>
        <w:pStyle w:val="BodyText"/>
        <w:spacing w:before="1"/>
        <w:ind w:left="970"/>
      </w:pPr>
      <w:r>
        <w:rPr/>
        <w:t>Ante</w:t>
      </w:r>
      <w:r>
        <w:rPr>
          <w:spacing w:val="-2"/>
        </w:rPr>
        <w:t> </w:t>
      </w:r>
      <w:r>
        <w:rPr/>
        <w:t>mí: María Florencia Daray</w:t>
      </w:r>
      <w:r>
        <w:rPr>
          <w:spacing w:val="-5"/>
        </w:rPr>
        <w:t> </w:t>
      </w:r>
      <w:r>
        <w:rPr/>
        <w:t>Secretaria</w:t>
      </w:r>
      <w:r>
        <w:rPr>
          <w:spacing w:val="-2"/>
        </w:rPr>
        <w:t> </w:t>
      </w:r>
      <w:r>
        <w:rPr/>
        <w:t>de</w:t>
      </w:r>
      <w:r>
        <w:rPr>
          <w:spacing w:val="-1"/>
        </w:rPr>
        <w:t> </w:t>
      </w:r>
      <w:r>
        <w:rPr>
          <w:spacing w:val="-2"/>
        </w:rPr>
        <w:t>Cámara</w:t>
      </w:r>
    </w:p>
    <w:sectPr>
      <w:pgSz w:w="12240" w:h="15840"/>
      <w:pgMar w:header="294" w:footer="961" w:top="1780" w:bottom="116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50976">
              <wp:simplePos x="0" y="0"/>
              <wp:positionH relativeFrom="page">
                <wp:posOffset>6951344</wp:posOffset>
              </wp:positionH>
              <wp:positionV relativeFrom="page">
                <wp:posOffset>9327515</wp:posOffset>
              </wp:positionV>
              <wp:extent cx="561975" cy="56197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561975" cy="561975"/>
                      </a:xfrm>
                      <a:custGeom>
                        <a:avLst/>
                        <a:gdLst/>
                        <a:ahLst/>
                        <a:cxnLst/>
                        <a:rect l="l" t="t" r="r" b="b"/>
                        <a:pathLst>
                          <a:path w="561975" h="561975">
                            <a:moveTo>
                              <a:pt x="280924" y="561974"/>
                            </a:moveTo>
                            <a:lnTo>
                              <a:pt x="235376" y="558297"/>
                            </a:lnTo>
                            <a:lnTo>
                              <a:pt x="192162" y="547650"/>
                            </a:lnTo>
                            <a:lnTo>
                              <a:pt x="151859" y="530613"/>
                            </a:lnTo>
                            <a:lnTo>
                              <a:pt x="115049" y="507763"/>
                            </a:lnTo>
                            <a:lnTo>
                              <a:pt x="82311" y="479678"/>
                            </a:lnTo>
                            <a:lnTo>
                              <a:pt x="54225" y="446938"/>
                            </a:lnTo>
                            <a:lnTo>
                              <a:pt x="31371" y="410121"/>
                            </a:lnTo>
                            <a:lnTo>
                              <a:pt x="14329" y="369804"/>
                            </a:lnTo>
                            <a:lnTo>
                              <a:pt x="3679" y="326567"/>
                            </a:lnTo>
                            <a:lnTo>
                              <a:pt x="0" y="280987"/>
                            </a:lnTo>
                            <a:lnTo>
                              <a:pt x="3679" y="235407"/>
                            </a:lnTo>
                            <a:lnTo>
                              <a:pt x="14329" y="192170"/>
                            </a:lnTo>
                            <a:lnTo>
                              <a:pt x="31371" y="151853"/>
                            </a:lnTo>
                            <a:lnTo>
                              <a:pt x="54225" y="115036"/>
                            </a:lnTo>
                            <a:lnTo>
                              <a:pt x="82311" y="82295"/>
                            </a:lnTo>
                            <a:lnTo>
                              <a:pt x="115049" y="54211"/>
                            </a:lnTo>
                            <a:lnTo>
                              <a:pt x="151859" y="31361"/>
                            </a:lnTo>
                            <a:lnTo>
                              <a:pt x="192162" y="14324"/>
                            </a:lnTo>
                            <a:lnTo>
                              <a:pt x="235376" y="3677"/>
                            </a:lnTo>
                            <a:lnTo>
                              <a:pt x="280924" y="0"/>
                            </a:lnTo>
                            <a:lnTo>
                              <a:pt x="326505" y="3677"/>
                            </a:lnTo>
                            <a:lnTo>
                              <a:pt x="369747" y="14324"/>
                            </a:lnTo>
                            <a:lnTo>
                              <a:pt x="410071" y="31361"/>
                            </a:lnTo>
                            <a:lnTo>
                              <a:pt x="446897" y="54211"/>
                            </a:lnTo>
                            <a:lnTo>
                              <a:pt x="479647" y="82295"/>
                            </a:lnTo>
                            <a:lnTo>
                              <a:pt x="507740" y="115036"/>
                            </a:lnTo>
                            <a:lnTo>
                              <a:pt x="530599" y="151853"/>
                            </a:lnTo>
                            <a:lnTo>
                              <a:pt x="547644" y="192170"/>
                            </a:lnTo>
                            <a:lnTo>
                              <a:pt x="558295" y="235407"/>
                            </a:lnTo>
                            <a:lnTo>
                              <a:pt x="561975" y="280987"/>
                            </a:lnTo>
                            <a:lnTo>
                              <a:pt x="558295" y="326567"/>
                            </a:lnTo>
                            <a:lnTo>
                              <a:pt x="547644" y="369804"/>
                            </a:lnTo>
                            <a:lnTo>
                              <a:pt x="530599" y="410121"/>
                            </a:lnTo>
                            <a:lnTo>
                              <a:pt x="507740" y="446938"/>
                            </a:lnTo>
                            <a:lnTo>
                              <a:pt x="479647" y="479678"/>
                            </a:lnTo>
                            <a:lnTo>
                              <a:pt x="446897" y="507763"/>
                            </a:lnTo>
                            <a:lnTo>
                              <a:pt x="410071" y="530613"/>
                            </a:lnTo>
                            <a:lnTo>
                              <a:pt x="369747" y="547650"/>
                            </a:lnTo>
                            <a:lnTo>
                              <a:pt x="326505" y="558297"/>
                            </a:lnTo>
                            <a:lnTo>
                              <a:pt x="280924" y="561974"/>
                            </a:lnTo>
                            <a:close/>
                          </a:path>
                        </a:pathLst>
                      </a:custGeom>
                      <a:ln w="12700">
                        <a:solidFill>
                          <a:srgbClr val="A7BEDE"/>
                        </a:solidFill>
                        <a:prstDash val="solid"/>
                      </a:ln>
                    </wps:spPr>
                    <wps:bodyPr wrap="square" lIns="0" tIns="0" rIns="0" bIns="0" rtlCol="0">
                      <a:prstTxWarp prst="textNoShape">
                        <a:avLst/>
                      </a:prstTxWarp>
                      <a:noAutofit/>
                    </wps:bodyPr>
                  </wps:wsp>
                </a:graphicData>
              </a:graphic>
            </wp:anchor>
          </w:drawing>
        </mc:Choice>
        <mc:Fallback>
          <w:pict>
            <v:shape style="position:absolute;margin-left:547.349976pt;margin-top:734.450012pt;width:44.25pt;height:44.25pt;mso-position-horizontal-relative:page;mso-position-vertical-relative:page;z-index:-15765504" id="docshape6" coordorigin="10947,14689" coordsize="885,885" path="m11389,15574l11318,15568,11250,15551,11186,15525,11128,15489,11077,15444,11032,15393,10996,15335,10970,15271,10953,15203,10947,15132,10953,15060,10970,14992,10996,14928,11032,14870,11077,14819,11128,14774,11186,14738,11250,14712,11318,14695,11389,14689,11461,14695,11529,14712,11593,14738,11651,14774,11702,14819,11747,14870,11783,14928,11809,14992,11826,15060,11832,15132,11826,15203,11809,15271,11783,15335,11747,15393,11702,15444,11651,15489,11593,15525,11529,15551,11461,15568,11389,15574xe" filled="false" stroked="true" strokeweight="1pt" strokecolor="#a7bede">
              <v:path arrowok="t"/>
              <v:stroke dashstyle="solid"/>
              <w10:wrap type="none"/>
            </v:shape>
          </w:pict>
        </mc:Fallback>
      </mc:AlternateContent>
    </w:r>
    <w:r>
      <w:rPr>
        <w:sz w:val="20"/>
      </w:rPr>
      <mc:AlternateContent>
        <mc:Choice Requires="wps">
          <w:drawing>
            <wp:anchor distT="0" distB="0" distL="0" distR="0" allowOverlap="1" layoutInCell="1" locked="0" behindDoc="1" simplePos="0" relativeHeight="487551488">
              <wp:simplePos x="0" y="0"/>
              <wp:positionH relativeFrom="page">
                <wp:posOffset>7066788</wp:posOffset>
              </wp:positionH>
              <wp:positionV relativeFrom="page">
                <wp:posOffset>9411241</wp:posOffset>
              </wp:positionV>
              <wp:extent cx="165100" cy="19431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65100" cy="194310"/>
                      </a:xfrm>
                      <a:prstGeom prst="rect">
                        <a:avLst/>
                      </a:prstGeom>
                    </wps:spPr>
                    <wps:txbx>
                      <w:txbxContent>
                        <w:p>
                          <w:pPr>
                            <w:pStyle w:val="BodyText"/>
                            <w:spacing w:before="10"/>
                            <w:ind w:left="60"/>
                          </w:pPr>
                          <w:r>
                            <w:rPr>
                              <w:color w:val="4F81BC"/>
                              <w:spacing w:val="-10"/>
                            </w:rPr>
                            <w:fldChar w:fldCharType="begin"/>
                          </w:r>
                          <w:r>
                            <w:rPr>
                              <w:color w:val="4F81BC"/>
                              <w:spacing w:val="-10"/>
                            </w:rPr>
                            <w:instrText> PAGE </w:instrText>
                          </w:r>
                          <w:r>
                            <w:rPr>
                              <w:color w:val="4F81BC"/>
                              <w:spacing w:val="-10"/>
                            </w:rPr>
                            <w:fldChar w:fldCharType="separate"/>
                          </w:r>
                          <w:r>
                            <w:rPr>
                              <w:color w:val="4F81BC"/>
                              <w:spacing w:val="-10"/>
                            </w:rPr>
                            <w:t>1</w:t>
                          </w:r>
                          <w:r>
                            <w:rPr>
                              <w:color w:val="4F81BC"/>
                              <w:spacing w:val="-10"/>
                            </w:rPr>
                            <w:fldChar w:fldCharType="end"/>
                          </w:r>
                        </w:p>
                      </w:txbxContent>
                    </wps:txbx>
                    <wps:bodyPr wrap="square" lIns="0" tIns="0" rIns="0" bIns="0" rtlCol="0">
                      <a:noAutofit/>
                    </wps:bodyPr>
                  </wps:wsp>
                </a:graphicData>
              </a:graphic>
            </wp:anchor>
          </w:drawing>
        </mc:Choice>
        <mc:Fallback>
          <w:pict>
            <v:shape style="position:absolute;margin-left:556.440002pt;margin-top:741.042664pt;width:13pt;height:15.3pt;mso-position-horizontal-relative:page;mso-position-vertical-relative:page;z-index:-15764992" type="#_x0000_t202" id="docshape7" filled="false" stroked="false">
              <v:textbox inset="0,0,0,0">
                <w:txbxContent>
                  <w:p>
                    <w:pPr>
                      <w:pStyle w:val="BodyText"/>
                      <w:spacing w:before="10"/>
                      <w:ind w:left="60"/>
                    </w:pPr>
                    <w:r>
                      <w:rPr>
                        <w:color w:val="4F81BC"/>
                        <w:spacing w:val="-10"/>
                      </w:rPr>
                      <w:fldChar w:fldCharType="begin"/>
                    </w:r>
                    <w:r>
                      <w:rPr>
                        <w:color w:val="4F81BC"/>
                        <w:spacing w:val="-10"/>
                      </w:rPr>
                      <w:instrText> PAGE </w:instrText>
                    </w:r>
                    <w:r>
                      <w:rPr>
                        <w:color w:val="4F81BC"/>
                        <w:spacing w:val="-10"/>
                      </w:rPr>
                      <w:fldChar w:fldCharType="separate"/>
                    </w:r>
                    <w:r>
                      <w:rPr>
                        <w:color w:val="4F81BC"/>
                        <w:spacing w:val="-10"/>
                      </w:rPr>
                      <w:t>1</w:t>
                    </w:r>
                    <w:r>
                      <w:rPr>
                        <w:color w:val="4F81BC"/>
                        <w:spacing w:val="-1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49952">
              <wp:simplePos x="0" y="0"/>
              <wp:positionH relativeFrom="page">
                <wp:posOffset>1062532</wp:posOffset>
              </wp:positionH>
              <wp:positionV relativeFrom="page">
                <wp:posOffset>186689</wp:posOffset>
              </wp:positionV>
              <wp:extent cx="6115050" cy="84137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115050" cy="841375"/>
                        <a:chExt cx="6115050" cy="841375"/>
                      </a:xfrm>
                    </wpg:grpSpPr>
                    <wps:wsp>
                      <wps:cNvPr id="2" name="Graphic 2"/>
                      <wps:cNvSpPr/>
                      <wps:spPr>
                        <a:xfrm>
                          <a:off x="0" y="634745"/>
                          <a:ext cx="5650865" cy="6350"/>
                        </a:xfrm>
                        <a:custGeom>
                          <a:avLst/>
                          <a:gdLst/>
                          <a:ahLst/>
                          <a:cxnLst/>
                          <a:rect l="l" t="t" r="r" b="b"/>
                          <a:pathLst>
                            <a:path w="5650865" h="6350">
                              <a:moveTo>
                                <a:pt x="5650738" y="0"/>
                              </a:moveTo>
                              <a:lnTo>
                                <a:pt x="0" y="0"/>
                              </a:lnTo>
                              <a:lnTo>
                                <a:pt x="0" y="6096"/>
                              </a:lnTo>
                              <a:lnTo>
                                <a:pt x="5650738" y="6096"/>
                              </a:lnTo>
                              <a:lnTo>
                                <a:pt x="5650738" y="0"/>
                              </a:lnTo>
                              <a:close/>
                            </a:path>
                          </a:pathLst>
                        </a:custGeom>
                        <a:solidFill>
                          <a:srgbClr val="4F81BC"/>
                        </a:solidFill>
                      </wps:spPr>
                      <wps:bodyPr wrap="square" lIns="0" tIns="0" rIns="0" bIns="0" rtlCol="0">
                        <a:prstTxWarp prst="textNoShape">
                          <a:avLst/>
                        </a:prstTxWarp>
                        <a:noAutofit/>
                      </wps:bodyPr>
                    </wps:wsp>
                    <pic:pic>
                      <pic:nvPicPr>
                        <pic:cNvPr id="3" name="Image 3"/>
                        <pic:cNvPicPr/>
                      </pic:nvPicPr>
                      <pic:blipFill>
                        <a:blip r:embed="rId1" cstate="print"/>
                        <a:stretch>
                          <a:fillRect/>
                        </a:stretch>
                      </pic:blipFill>
                      <pic:spPr>
                        <a:xfrm>
                          <a:off x="4770577" y="86360"/>
                          <a:ext cx="1344294" cy="661034"/>
                        </a:xfrm>
                        <a:prstGeom prst="rect">
                          <a:avLst/>
                        </a:prstGeom>
                      </pic:spPr>
                    </pic:pic>
                    <pic:pic>
                      <pic:nvPicPr>
                        <pic:cNvPr id="4" name="Image 4"/>
                        <pic:cNvPicPr/>
                      </pic:nvPicPr>
                      <pic:blipFill>
                        <a:blip r:embed="rId2" cstate="print"/>
                        <a:stretch>
                          <a:fillRect/>
                        </a:stretch>
                      </pic:blipFill>
                      <pic:spPr>
                        <a:xfrm>
                          <a:off x="55702" y="0"/>
                          <a:ext cx="866775" cy="841375"/>
                        </a:xfrm>
                        <a:prstGeom prst="rect">
                          <a:avLst/>
                        </a:prstGeom>
                      </pic:spPr>
                    </pic:pic>
                  </wpg:wgp>
                </a:graphicData>
              </a:graphic>
            </wp:anchor>
          </w:drawing>
        </mc:Choice>
        <mc:Fallback>
          <w:pict>
            <v:group style="position:absolute;margin-left:83.664001pt;margin-top:14.7pt;width:481.5pt;height:66.25pt;mso-position-horizontal-relative:page;mso-position-vertical-relative:page;z-index:-15766528" id="docshapegroup1" coordorigin="1673,294" coordsize="9630,1325">
              <v:rect style="position:absolute;left:1673;top:1293;width:8899;height:10" id="docshape2" filled="true" fillcolor="#4f81bc" stroked="false">
                <v:fill type="solid"/>
              </v:rect>
              <v:shape style="position:absolute;left:9186;top:430;width:2117;height:1041" type="#_x0000_t75" id="docshape3" stroked="false">
                <v:imagedata r:id="rId1" o:title=""/>
              </v:shape>
              <v:shape style="position:absolute;left:1761;top:294;width:1365;height:1325" type="#_x0000_t75" id="docshape4" stroked="false">
                <v:imagedata r:id="rId2" o:title=""/>
              </v:shape>
              <w10:wrap type="none"/>
            </v:group>
          </w:pict>
        </mc:Fallback>
      </mc:AlternateContent>
    </w:r>
    <w:r>
      <w:rPr>
        <w:sz w:val="20"/>
      </w:rPr>
      <mc:AlternateContent>
        <mc:Choice Requires="wps">
          <w:drawing>
            <wp:anchor distT="0" distB="0" distL="0" distR="0" allowOverlap="1" layoutInCell="1" locked="0" behindDoc="1" simplePos="0" relativeHeight="487550464">
              <wp:simplePos x="0" y="0"/>
              <wp:positionH relativeFrom="page">
                <wp:posOffset>2459863</wp:posOffset>
              </wp:positionH>
              <wp:positionV relativeFrom="page">
                <wp:posOffset>645287</wp:posOffset>
              </wp:positionV>
              <wp:extent cx="2849880" cy="36068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849880" cy="360680"/>
                      </a:xfrm>
                      <a:prstGeom prst="rect">
                        <a:avLst/>
                      </a:prstGeom>
                    </wps:spPr>
                    <wps:txbx>
                      <w:txbxContent>
                        <w:p>
                          <w:pPr>
                            <w:spacing w:line="223" w:lineRule="exact" w:before="0"/>
                            <w:ind w:left="20" w:right="0" w:firstLine="0"/>
                            <w:jc w:val="left"/>
                            <w:rPr>
                              <w:rFonts w:ascii="Calibri"/>
                              <w:sz w:val="20"/>
                            </w:rPr>
                          </w:pPr>
                          <w:r>
                            <w:rPr>
                              <w:rFonts w:ascii="Calibri"/>
                              <w:sz w:val="20"/>
                            </w:rPr>
                            <w:t>Biblioteca</w:t>
                          </w:r>
                          <w:r>
                            <w:rPr>
                              <w:rFonts w:ascii="Calibri"/>
                              <w:spacing w:val="-9"/>
                              <w:sz w:val="20"/>
                            </w:rPr>
                            <w:t> </w:t>
                          </w:r>
                          <w:r>
                            <w:rPr>
                              <w:rFonts w:ascii="Calibri"/>
                              <w:sz w:val="20"/>
                            </w:rPr>
                            <w:t>Digital</w:t>
                          </w:r>
                          <w:r>
                            <w:rPr>
                              <w:rFonts w:ascii="Calibri"/>
                              <w:spacing w:val="-7"/>
                              <w:sz w:val="20"/>
                            </w:rPr>
                            <w:t> </w:t>
                          </w:r>
                          <w:r>
                            <w:rPr>
                              <w:rFonts w:ascii="Calibri"/>
                              <w:sz w:val="20"/>
                            </w:rPr>
                            <w:t>de</w:t>
                          </w:r>
                          <w:r>
                            <w:rPr>
                              <w:rFonts w:ascii="Calibri"/>
                              <w:spacing w:val="-9"/>
                              <w:sz w:val="20"/>
                            </w:rPr>
                            <w:t> </w:t>
                          </w:r>
                          <w:r>
                            <w:rPr>
                              <w:rFonts w:ascii="Calibri"/>
                              <w:sz w:val="20"/>
                            </w:rPr>
                            <w:t>Jurisprudencia</w:t>
                          </w:r>
                          <w:r>
                            <w:rPr>
                              <w:rFonts w:ascii="Calibri"/>
                              <w:spacing w:val="-7"/>
                              <w:sz w:val="20"/>
                            </w:rPr>
                            <w:t> </w:t>
                          </w:r>
                          <w:r>
                            <w:rPr>
                              <w:rFonts w:ascii="Calibri"/>
                              <w:sz w:val="20"/>
                            </w:rPr>
                            <w:t>sobre</w:t>
                          </w:r>
                          <w:r>
                            <w:rPr>
                              <w:rFonts w:ascii="Calibri"/>
                              <w:spacing w:val="-9"/>
                              <w:sz w:val="20"/>
                            </w:rPr>
                            <w:t> </w:t>
                          </w:r>
                          <w:r>
                            <w:rPr>
                              <w:rFonts w:ascii="Calibri"/>
                              <w:spacing w:val="-2"/>
                              <w:sz w:val="20"/>
                            </w:rPr>
                            <w:t>Discapacidad</w:t>
                          </w:r>
                        </w:p>
                        <w:p>
                          <w:pPr>
                            <w:spacing w:before="84"/>
                            <w:ind w:left="994" w:right="0" w:firstLine="0"/>
                            <w:jc w:val="left"/>
                            <w:rPr>
                              <w:rFonts w:ascii="Calibri"/>
                              <w:sz w:val="20"/>
                            </w:rPr>
                          </w:pPr>
                          <w:r>
                            <w:rPr>
                              <w:rFonts w:ascii="Calibri"/>
                              <w:sz w:val="20"/>
                            </w:rPr>
                            <w:t>Facultad</w:t>
                          </w:r>
                          <w:r>
                            <w:rPr>
                              <w:rFonts w:ascii="Calibri"/>
                              <w:spacing w:val="-6"/>
                              <w:sz w:val="20"/>
                            </w:rPr>
                            <w:t> </w:t>
                          </w:r>
                          <w:r>
                            <w:rPr>
                              <w:rFonts w:ascii="Calibri"/>
                              <w:sz w:val="20"/>
                            </w:rPr>
                            <w:t>de</w:t>
                          </w:r>
                          <w:r>
                            <w:rPr>
                              <w:rFonts w:ascii="Calibri"/>
                              <w:spacing w:val="-5"/>
                              <w:sz w:val="20"/>
                            </w:rPr>
                            <w:t> </w:t>
                          </w:r>
                          <w:r>
                            <w:rPr>
                              <w:rFonts w:ascii="Calibri"/>
                              <w:sz w:val="20"/>
                            </w:rPr>
                            <w:t>Derecho</w:t>
                          </w:r>
                          <w:r>
                            <w:rPr>
                              <w:rFonts w:ascii="Calibri"/>
                              <w:spacing w:val="-2"/>
                              <w:sz w:val="20"/>
                            </w:rPr>
                            <w:t> </w:t>
                          </w:r>
                          <w:r>
                            <w:rPr>
                              <w:rFonts w:ascii="Calibri"/>
                              <w:sz w:val="20"/>
                            </w:rPr>
                            <w:t>-</w:t>
                          </w:r>
                          <w:r>
                            <w:rPr>
                              <w:rFonts w:ascii="Calibri"/>
                              <w:spacing w:val="-6"/>
                              <w:sz w:val="20"/>
                            </w:rPr>
                            <w:t> </w:t>
                          </w:r>
                          <w:r>
                            <w:rPr>
                              <w:rFonts w:ascii="Calibri"/>
                              <w:spacing w:val="-5"/>
                              <w:sz w:val="20"/>
                            </w:rPr>
                            <w:t>UBA</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93.690002pt;margin-top:50.810001pt;width:224.4pt;height:28.4pt;mso-position-horizontal-relative:page;mso-position-vertical-relative:page;z-index:-15766016" type="#_x0000_t202" id="docshape5" filled="false" stroked="false">
              <v:textbox inset="0,0,0,0">
                <w:txbxContent>
                  <w:p>
                    <w:pPr>
                      <w:spacing w:line="223" w:lineRule="exact" w:before="0"/>
                      <w:ind w:left="20" w:right="0" w:firstLine="0"/>
                      <w:jc w:val="left"/>
                      <w:rPr>
                        <w:rFonts w:ascii="Calibri"/>
                        <w:sz w:val="20"/>
                      </w:rPr>
                    </w:pPr>
                    <w:r>
                      <w:rPr>
                        <w:rFonts w:ascii="Calibri"/>
                        <w:sz w:val="20"/>
                      </w:rPr>
                      <w:t>Biblioteca</w:t>
                    </w:r>
                    <w:r>
                      <w:rPr>
                        <w:rFonts w:ascii="Calibri"/>
                        <w:spacing w:val="-9"/>
                        <w:sz w:val="20"/>
                      </w:rPr>
                      <w:t> </w:t>
                    </w:r>
                    <w:r>
                      <w:rPr>
                        <w:rFonts w:ascii="Calibri"/>
                        <w:sz w:val="20"/>
                      </w:rPr>
                      <w:t>Digital</w:t>
                    </w:r>
                    <w:r>
                      <w:rPr>
                        <w:rFonts w:ascii="Calibri"/>
                        <w:spacing w:val="-7"/>
                        <w:sz w:val="20"/>
                      </w:rPr>
                      <w:t> </w:t>
                    </w:r>
                    <w:r>
                      <w:rPr>
                        <w:rFonts w:ascii="Calibri"/>
                        <w:sz w:val="20"/>
                      </w:rPr>
                      <w:t>de</w:t>
                    </w:r>
                    <w:r>
                      <w:rPr>
                        <w:rFonts w:ascii="Calibri"/>
                        <w:spacing w:val="-9"/>
                        <w:sz w:val="20"/>
                      </w:rPr>
                      <w:t> </w:t>
                    </w:r>
                    <w:r>
                      <w:rPr>
                        <w:rFonts w:ascii="Calibri"/>
                        <w:sz w:val="20"/>
                      </w:rPr>
                      <w:t>Jurisprudencia</w:t>
                    </w:r>
                    <w:r>
                      <w:rPr>
                        <w:rFonts w:ascii="Calibri"/>
                        <w:spacing w:val="-7"/>
                        <w:sz w:val="20"/>
                      </w:rPr>
                      <w:t> </w:t>
                    </w:r>
                    <w:r>
                      <w:rPr>
                        <w:rFonts w:ascii="Calibri"/>
                        <w:sz w:val="20"/>
                      </w:rPr>
                      <w:t>sobre</w:t>
                    </w:r>
                    <w:r>
                      <w:rPr>
                        <w:rFonts w:ascii="Calibri"/>
                        <w:spacing w:val="-9"/>
                        <w:sz w:val="20"/>
                      </w:rPr>
                      <w:t> </w:t>
                    </w:r>
                    <w:r>
                      <w:rPr>
                        <w:rFonts w:ascii="Calibri"/>
                        <w:spacing w:val="-2"/>
                        <w:sz w:val="20"/>
                      </w:rPr>
                      <w:t>Discapacidad</w:t>
                    </w:r>
                  </w:p>
                  <w:p>
                    <w:pPr>
                      <w:spacing w:before="84"/>
                      <w:ind w:left="994" w:right="0" w:firstLine="0"/>
                      <w:jc w:val="left"/>
                      <w:rPr>
                        <w:rFonts w:ascii="Calibri"/>
                        <w:sz w:val="20"/>
                      </w:rPr>
                    </w:pPr>
                    <w:r>
                      <w:rPr>
                        <w:rFonts w:ascii="Calibri"/>
                        <w:sz w:val="20"/>
                      </w:rPr>
                      <w:t>Facultad</w:t>
                    </w:r>
                    <w:r>
                      <w:rPr>
                        <w:rFonts w:ascii="Calibri"/>
                        <w:spacing w:val="-6"/>
                        <w:sz w:val="20"/>
                      </w:rPr>
                      <w:t> </w:t>
                    </w:r>
                    <w:r>
                      <w:rPr>
                        <w:rFonts w:ascii="Calibri"/>
                        <w:sz w:val="20"/>
                      </w:rPr>
                      <w:t>de</w:t>
                    </w:r>
                    <w:r>
                      <w:rPr>
                        <w:rFonts w:ascii="Calibri"/>
                        <w:spacing w:val="-5"/>
                        <w:sz w:val="20"/>
                      </w:rPr>
                      <w:t> </w:t>
                    </w:r>
                    <w:r>
                      <w:rPr>
                        <w:rFonts w:ascii="Calibri"/>
                        <w:sz w:val="20"/>
                      </w:rPr>
                      <w:t>Derecho</w:t>
                    </w:r>
                    <w:r>
                      <w:rPr>
                        <w:rFonts w:ascii="Calibri"/>
                        <w:spacing w:val="-2"/>
                        <w:sz w:val="20"/>
                      </w:rPr>
                      <w:t> </w:t>
                    </w:r>
                    <w:r>
                      <w:rPr>
                        <w:rFonts w:ascii="Calibri"/>
                        <w:sz w:val="20"/>
                      </w:rPr>
                      <w:t>-</w:t>
                    </w:r>
                    <w:r>
                      <w:rPr>
                        <w:rFonts w:ascii="Calibri"/>
                        <w:spacing w:val="-6"/>
                        <w:sz w:val="20"/>
                      </w:rPr>
                      <w:t> </w:t>
                    </w:r>
                    <w:r>
                      <w:rPr>
                        <w:rFonts w:ascii="Calibri"/>
                        <w:spacing w:val="-5"/>
                        <w:sz w:val="20"/>
                      </w:rPr>
                      <w:t>UBA</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262" w:hanging="240"/>
        <w:jc w:val="left"/>
      </w:pPr>
      <w:rPr>
        <w:rFonts w:hint="default" w:ascii="Times New Roman" w:hAnsi="Times New Roman" w:eastAsia="Times New Roman" w:cs="Times New Roman"/>
        <w:b w:val="0"/>
        <w:bCs w:val="0"/>
        <w:i w:val="0"/>
        <w:iCs w:val="0"/>
        <w:spacing w:val="-4"/>
        <w:w w:val="100"/>
        <w:sz w:val="24"/>
        <w:szCs w:val="24"/>
        <w:lang w:val="es-ES" w:eastAsia="en-US" w:bidi="ar-SA"/>
      </w:rPr>
    </w:lvl>
    <w:lvl w:ilvl="1">
      <w:start w:val="0"/>
      <w:numFmt w:val="bullet"/>
      <w:lvlText w:val="•"/>
      <w:lvlJc w:val="left"/>
      <w:pPr>
        <w:ind w:left="1170" w:hanging="240"/>
      </w:pPr>
      <w:rPr>
        <w:rFonts w:hint="default"/>
        <w:lang w:val="es-ES" w:eastAsia="en-US" w:bidi="ar-SA"/>
      </w:rPr>
    </w:lvl>
    <w:lvl w:ilvl="2">
      <w:start w:val="0"/>
      <w:numFmt w:val="bullet"/>
      <w:lvlText w:val="•"/>
      <w:lvlJc w:val="left"/>
      <w:pPr>
        <w:ind w:left="2080" w:hanging="240"/>
      </w:pPr>
      <w:rPr>
        <w:rFonts w:hint="default"/>
        <w:lang w:val="es-ES" w:eastAsia="en-US" w:bidi="ar-SA"/>
      </w:rPr>
    </w:lvl>
    <w:lvl w:ilvl="3">
      <w:start w:val="0"/>
      <w:numFmt w:val="bullet"/>
      <w:lvlText w:val="•"/>
      <w:lvlJc w:val="left"/>
      <w:pPr>
        <w:ind w:left="2990" w:hanging="240"/>
      </w:pPr>
      <w:rPr>
        <w:rFonts w:hint="default"/>
        <w:lang w:val="es-ES" w:eastAsia="en-US" w:bidi="ar-SA"/>
      </w:rPr>
    </w:lvl>
    <w:lvl w:ilvl="4">
      <w:start w:val="0"/>
      <w:numFmt w:val="bullet"/>
      <w:lvlText w:val="•"/>
      <w:lvlJc w:val="left"/>
      <w:pPr>
        <w:ind w:left="3900" w:hanging="240"/>
      </w:pPr>
      <w:rPr>
        <w:rFonts w:hint="default"/>
        <w:lang w:val="es-ES" w:eastAsia="en-US" w:bidi="ar-SA"/>
      </w:rPr>
    </w:lvl>
    <w:lvl w:ilvl="5">
      <w:start w:val="0"/>
      <w:numFmt w:val="bullet"/>
      <w:lvlText w:val="•"/>
      <w:lvlJc w:val="left"/>
      <w:pPr>
        <w:ind w:left="4810" w:hanging="240"/>
      </w:pPr>
      <w:rPr>
        <w:rFonts w:hint="default"/>
        <w:lang w:val="es-ES" w:eastAsia="en-US" w:bidi="ar-SA"/>
      </w:rPr>
    </w:lvl>
    <w:lvl w:ilvl="6">
      <w:start w:val="0"/>
      <w:numFmt w:val="bullet"/>
      <w:lvlText w:val="•"/>
      <w:lvlJc w:val="left"/>
      <w:pPr>
        <w:ind w:left="5720" w:hanging="240"/>
      </w:pPr>
      <w:rPr>
        <w:rFonts w:hint="default"/>
        <w:lang w:val="es-ES" w:eastAsia="en-US" w:bidi="ar-SA"/>
      </w:rPr>
    </w:lvl>
    <w:lvl w:ilvl="7">
      <w:start w:val="0"/>
      <w:numFmt w:val="bullet"/>
      <w:lvlText w:val="•"/>
      <w:lvlJc w:val="left"/>
      <w:pPr>
        <w:ind w:left="6630" w:hanging="240"/>
      </w:pPr>
      <w:rPr>
        <w:rFonts w:hint="default"/>
        <w:lang w:val="es-ES" w:eastAsia="en-US" w:bidi="ar-SA"/>
      </w:rPr>
    </w:lvl>
    <w:lvl w:ilvl="8">
      <w:start w:val="0"/>
      <w:numFmt w:val="bullet"/>
      <w:lvlText w:val="•"/>
      <w:lvlJc w:val="left"/>
      <w:pPr>
        <w:ind w:left="7540" w:hanging="240"/>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s-ES" w:eastAsia="en-US" w:bidi="ar-SA"/>
    </w:rPr>
  </w:style>
  <w:style w:styleId="ListParagraph" w:type="paragraph">
    <w:name w:val="List Paragraph"/>
    <w:basedOn w:val="Normal"/>
    <w:uiPriority w:val="1"/>
    <w:qFormat/>
    <w:pPr>
      <w:ind w:left="262" w:right="257" w:firstLine="707"/>
      <w:jc w:val="both"/>
    </w:pPr>
    <w:rPr>
      <w:rFonts w:ascii="Times New Roman" w:hAnsi="Times New Roman" w:eastAsia="Times New Roman" w:cs="Times New Roman"/>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Carrera</dc:creator>
  <dc:title>Base de Datos de Jurisprudencia sobre Discapacidad</dc:title>
  <dcterms:created xsi:type="dcterms:W3CDTF">2025-03-31T21:31:18Z</dcterms:created>
  <dcterms:modified xsi:type="dcterms:W3CDTF">2025-03-31T21:31:18Z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2025-03-31T00:00:00Z</vt:filetime>
  </property>
  <property fmtid="{D5CDD505-2E9C-101B-9397-08002B2CF9AE}" pid="3" name="Creator">
    <vt:lpwstr>Microsoft® Office Word 2007</vt:lpwstr>
  </property>
  <property fmtid="{D5CDD505-2E9C-101B-9397-08002B2CF9AE}" pid="4" name="LastSaved">
    <vt:filetime>2025-03-31T00:00:00Z</vt:filetime>
  </property>
  <property fmtid="{D5CDD505-2E9C-101B-9397-08002B2CF9AE}" pid="5" name="Producer">
    <vt:lpwstr>Microsoft® Office Word 2007</vt:lpwstr>
  </property>
</Properties>
</file>