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2"/>
        <w:ind w:left="0" w:right="21" w:firstLine="0"/>
        <w:jc w:val="right"/>
        <w:rPr>
          <w:rFonts w:ascii="Calibri"/>
          <w:b/>
          <w:sz w:val="22"/>
        </w:rPr>
      </w:pPr>
      <w:r>
        <w:rPr>
          <w:rFonts w:ascii="Calibri"/>
          <w:b/>
          <w:sz w:val="22"/>
        </w:rPr>
        <w:t>Accesibilidad</w:t>
      </w:r>
      <w:r>
        <w:rPr>
          <w:rFonts w:ascii="Calibri"/>
          <w:b/>
          <w:spacing w:val="42"/>
          <w:sz w:val="22"/>
        </w:rPr>
        <w:t> </w:t>
      </w:r>
      <w:r>
        <w:rPr>
          <w:rFonts w:ascii="Calibri"/>
          <w:b/>
          <w:sz w:val="22"/>
        </w:rPr>
        <w:t>-</w:t>
      </w:r>
      <w:r>
        <w:rPr>
          <w:rFonts w:ascii="Calibri"/>
          <w:b/>
          <w:spacing w:val="-4"/>
          <w:sz w:val="22"/>
        </w:rPr>
        <w:t> </w:t>
      </w:r>
      <w:r>
        <w:rPr>
          <w:rFonts w:ascii="Calibri"/>
          <w:b/>
          <w:spacing w:val="-2"/>
          <w:sz w:val="22"/>
        </w:rPr>
        <w:t>Beneficio</w:t>
      </w:r>
    </w:p>
    <w:p>
      <w:pPr>
        <w:pStyle w:val="BodyText"/>
        <w:spacing w:before="267"/>
        <w:ind w:left="0"/>
        <w:rPr>
          <w:rFonts w:ascii="Calibri"/>
          <w:b/>
          <w:sz w:val="22"/>
        </w:rPr>
      </w:pPr>
    </w:p>
    <w:p>
      <w:pPr>
        <w:spacing w:line="360" w:lineRule="auto" w:before="0"/>
        <w:ind w:left="267" w:right="27" w:firstLine="0"/>
        <w:jc w:val="center"/>
        <w:rPr>
          <w:rFonts w:ascii="Calibri" w:hAnsi="Calibri"/>
          <w:b/>
          <w:sz w:val="22"/>
        </w:rPr>
      </w:pPr>
      <w:r>
        <w:rPr>
          <w:rFonts w:ascii="Calibri" w:hAnsi="Calibri"/>
          <w:b/>
          <w:sz w:val="22"/>
        </w:rPr>
        <w:t>GCBA</w:t>
      </w:r>
      <w:r>
        <w:rPr>
          <w:rFonts w:ascii="Calibri" w:hAnsi="Calibri"/>
          <w:b/>
          <w:spacing w:val="-4"/>
          <w:sz w:val="22"/>
        </w:rPr>
        <w:t> </w:t>
      </w:r>
      <w:r>
        <w:rPr>
          <w:rFonts w:ascii="Calibri" w:hAnsi="Calibri"/>
          <w:b/>
          <w:sz w:val="22"/>
        </w:rPr>
        <w:t>y</w:t>
      </w:r>
      <w:r>
        <w:rPr>
          <w:rFonts w:ascii="Calibri" w:hAnsi="Calibri"/>
          <w:b/>
          <w:spacing w:val="-3"/>
          <w:sz w:val="22"/>
        </w:rPr>
        <w:t> </w:t>
      </w:r>
      <w:r>
        <w:rPr>
          <w:rFonts w:ascii="Calibri" w:hAnsi="Calibri"/>
          <w:b/>
          <w:sz w:val="22"/>
        </w:rPr>
        <w:t>FACOEP</w:t>
      </w:r>
      <w:r>
        <w:rPr>
          <w:rFonts w:ascii="Calibri" w:hAnsi="Calibri"/>
          <w:b/>
          <w:spacing w:val="-3"/>
          <w:sz w:val="22"/>
        </w:rPr>
        <w:t> </w:t>
      </w:r>
      <w:r>
        <w:rPr>
          <w:rFonts w:ascii="Calibri" w:hAnsi="Calibri"/>
          <w:b/>
          <w:sz w:val="22"/>
        </w:rPr>
        <w:t>S.E.</w:t>
      </w:r>
      <w:r>
        <w:rPr>
          <w:rFonts w:ascii="Calibri" w:hAnsi="Calibri"/>
          <w:b/>
          <w:spacing w:val="-1"/>
          <w:sz w:val="22"/>
        </w:rPr>
        <w:t> </w:t>
      </w:r>
      <w:r>
        <w:rPr>
          <w:rFonts w:ascii="Calibri" w:hAnsi="Calibri"/>
          <w:b/>
          <w:sz w:val="22"/>
        </w:rPr>
        <w:t>apelan</w:t>
      </w:r>
      <w:r>
        <w:rPr>
          <w:rFonts w:ascii="Calibri" w:hAnsi="Calibri"/>
          <w:b/>
          <w:spacing w:val="-4"/>
          <w:sz w:val="22"/>
        </w:rPr>
        <w:t> </w:t>
      </w:r>
      <w:r>
        <w:rPr>
          <w:rFonts w:ascii="Calibri" w:hAnsi="Calibri"/>
          <w:b/>
          <w:sz w:val="22"/>
        </w:rPr>
        <w:t>sentencia</w:t>
      </w:r>
      <w:r>
        <w:rPr>
          <w:rFonts w:ascii="Calibri" w:hAnsi="Calibri"/>
          <w:b/>
          <w:spacing w:val="-4"/>
          <w:sz w:val="22"/>
        </w:rPr>
        <w:t> </w:t>
      </w:r>
      <w:r>
        <w:rPr>
          <w:rFonts w:ascii="Calibri" w:hAnsi="Calibri"/>
          <w:b/>
          <w:sz w:val="22"/>
        </w:rPr>
        <w:t>que</w:t>
      </w:r>
      <w:r>
        <w:rPr>
          <w:rFonts w:ascii="Calibri" w:hAnsi="Calibri"/>
          <w:b/>
          <w:spacing w:val="-4"/>
          <w:sz w:val="22"/>
        </w:rPr>
        <w:t> </w:t>
      </w:r>
      <w:r>
        <w:rPr>
          <w:rFonts w:ascii="Calibri" w:hAnsi="Calibri"/>
          <w:b/>
          <w:sz w:val="22"/>
        </w:rPr>
        <w:t>ordena</w:t>
      </w:r>
      <w:r>
        <w:rPr>
          <w:rFonts w:ascii="Calibri" w:hAnsi="Calibri"/>
          <w:b/>
          <w:spacing w:val="-3"/>
          <w:sz w:val="22"/>
        </w:rPr>
        <w:t> </w:t>
      </w:r>
      <w:r>
        <w:rPr>
          <w:rFonts w:ascii="Calibri" w:hAnsi="Calibri"/>
          <w:b/>
          <w:sz w:val="22"/>
        </w:rPr>
        <w:t>se</w:t>
      </w:r>
      <w:r>
        <w:rPr>
          <w:rFonts w:ascii="Calibri" w:hAnsi="Calibri"/>
          <w:b/>
          <w:spacing w:val="-5"/>
          <w:sz w:val="22"/>
        </w:rPr>
        <w:t> </w:t>
      </w:r>
      <w:r>
        <w:rPr>
          <w:rFonts w:ascii="Calibri" w:hAnsi="Calibri"/>
          <w:b/>
          <w:sz w:val="22"/>
        </w:rPr>
        <w:t>otorgue</w:t>
      </w:r>
      <w:r>
        <w:rPr>
          <w:rFonts w:ascii="Calibri" w:hAnsi="Calibri"/>
          <w:b/>
          <w:spacing w:val="-4"/>
          <w:sz w:val="22"/>
        </w:rPr>
        <w:t> </w:t>
      </w:r>
      <w:r>
        <w:rPr>
          <w:rFonts w:ascii="Calibri" w:hAnsi="Calibri"/>
          <w:b/>
          <w:sz w:val="22"/>
        </w:rPr>
        <w:t>transporte</w:t>
      </w:r>
      <w:r>
        <w:rPr>
          <w:rFonts w:ascii="Calibri" w:hAnsi="Calibri"/>
          <w:b/>
          <w:spacing w:val="-3"/>
          <w:sz w:val="22"/>
        </w:rPr>
        <w:t> </w:t>
      </w:r>
      <w:r>
        <w:rPr>
          <w:rFonts w:ascii="Calibri" w:hAnsi="Calibri"/>
          <w:b/>
          <w:sz w:val="22"/>
        </w:rPr>
        <w:t>para</w:t>
      </w:r>
      <w:r>
        <w:rPr>
          <w:rFonts w:ascii="Calibri" w:hAnsi="Calibri"/>
          <w:b/>
          <w:spacing w:val="-4"/>
          <w:sz w:val="22"/>
        </w:rPr>
        <w:t> </w:t>
      </w:r>
      <w:r>
        <w:rPr>
          <w:rFonts w:ascii="Calibri" w:hAnsi="Calibri"/>
          <w:b/>
          <w:sz w:val="22"/>
        </w:rPr>
        <w:t>niña</w:t>
      </w:r>
      <w:r>
        <w:rPr>
          <w:rFonts w:ascii="Calibri" w:hAnsi="Calibri"/>
          <w:b/>
          <w:spacing w:val="-4"/>
          <w:sz w:val="22"/>
        </w:rPr>
        <w:t> </w:t>
      </w:r>
      <w:r>
        <w:rPr>
          <w:rFonts w:ascii="Calibri" w:hAnsi="Calibri"/>
          <w:b/>
          <w:sz w:val="22"/>
        </w:rPr>
        <w:t>con</w:t>
      </w:r>
      <w:r>
        <w:rPr>
          <w:rFonts w:ascii="Calibri" w:hAnsi="Calibri"/>
          <w:b/>
          <w:spacing w:val="-1"/>
          <w:sz w:val="22"/>
        </w:rPr>
        <w:t> </w:t>
      </w:r>
      <w:r>
        <w:rPr>
          <w:rFonts w:ascii="Calibri" w:hAnsi="Calibri"/>
          <w:b/>
          <w:sz w:val="22"/>
        </w:rPr>
        <w:t>discapacidad desde su residencia hasta el Centro Educativo Terapéutico. Se desestima apelación por no</w:t>
      </w:r>
      <w:r>
        <w:rPr>
          <w:rFonts w:ascii="Calibri" w:hAnsi="Calibri"/>
          <w:b/>
          <w:spacing w:val="40"/>
          <w:sz w:val="22"/>
        </w:rPr>
        <w:t> </w:t>
      </w:r>
      <w:r>
        <w:rPr>
          <w:rFonts w:ascii="Calibri" w:hAnsi="Calibri"/>
          <w:b/>
          <w:sz w:val="22"/>
        </w:rPr>
        <w:t>constituir una crítica concreta y</w:t>
      </w:r>
      <w:r>
        <w:rPr>
          <w:rFonts w:ascii="Calibri" w:hAnsi="Calibri"/>
          <w:b/>
          <w:spacing w:val="40"/>
          <w:sz w:val="22"/>
        </w:rPr>
        <w:t> </w:t>
      </w:r>
      <w:r>
        <w:rPr>
          <w:rFonts w:ascii="Calibri" w:hAnsi="Calibri"/>
          <w:b/>
          <w:sz w:val="22"/>
        </w:rPr>
        <w:t>razonada de la resolución recurrida.</w:t>
      </w:r>
    </w:p>
    <w:p>
      <w:pPr>
        <w:pStyle w:val="BodyText"/>
        <w:spacing w:before="152"/>
        <w:ind w:left="0"/>
        <w:rPr>
          <w:rFonts w:ascii="Calibri"/>
          <w:b/>
          <w:sz w:val="22"/>
        </w:rPr>
      </w:pPr>
    </w:p>
    <w:p>
      <w:pPr>
        <w:spacing w:before="1"/>
        <w:ind w:left="492" w:right="0" w:firstLine="0"/>
        <w:jc w:val="left"/>
        <w:rPr>
          <w:rFonts w:ascii="Calibri" w:hAnsi="Calibri"/>
          <w:b/>
          <w:sz w:val="22"/>
        </w:rPr>
      </w:pPr>
      <w:r>
        <w:rPr>
          <w:rFonts w:ascii="Calibri" w:hAnsi="Calibri"/>
          <w:b/>
          <w:sz w:val="22"/>
        </w:rPr>
        <w:t>“Asesoría</w:t>
      </w:r>
      <w:r>
        <w:rPr>
          <w:rFonts w:ascii="Calibri" w:hAnsi="Calibri"/>
          <w:b/>
          <w:spacing w:val="-8"/>
          <w:sz w:val="22"/>
        </w:rPr>
        <w:t> </w:t>
      </w:r>
      <w:r>
        <w:rPr>
          <w:rFonts w:ascii="Calibri" w:hAnsi="Calibri"/>
          <w:b/>
          <w:sz w:val="22"/>
        </w:rPr>
        <w:t>Tutelar</w:t>
      </w:r>
      <w:r>
        <w:rPr>
          <w:rFonts w:ascii="Calibri" w:hAnsi="Calibri"/>
          <w:b/>
          <w:spacing w:val="-3"/>
          <w:sz w:val="22"/>
        </w:rPr>
        <w:t> </w:t>
      </w:r>
      <w:r>
        <w:rPr>
          <w:rFonts w:ascii="Calibri" w:hAnsi="Calibri"/>
          <w:b/>
          <w:sz w:val="22"/>
        </w:rPr>
        <w:t>de</w:t>
      </w:r>
      <w:r>
        <w:rPr>
          <w:rFonts w:ascii="Calibri" w:hAnsi="Calibri"/>
          <w:b/>
          <w:spacing w:val="-4"/>
          <w:sz w:val="22"/>
        </w:rPr>
        <w:t> </w:t>
      </w:r>
      <w:r>
        <w:rPr>
          <w:rFonts w:ascii="Calibri" w:hAnsi="Calibri"/>
          <w:b/>
          <w:sz w:val="22"/>
        </w:rPr>
        <w:t>Primera</w:t>
      </w:r>
      <w:r>
        <w:rPr>
          <w:rFonts w:ascii="Calibri" w:hAnsi="Calibri"/>
          <w:b/>
          <w:spacing w:val="-4"/>
          <w:sz w:val="22"/>
        </w:rPr>
        <w:t> </w:t>
      </w:r>
      <w:r>
        <w:rPr>
          <w:rFonts w:ascii="Calibri" w:hAnsi="Calibri"/>
          <w:b/>
          <w:sz w:val="22"/>
        </w:rPr>
        <w:t>Instancia</w:t>
      </w:r>
      <w:r>
        <w:rPr>
          <w:rFonts w:ascii="Calibri" w:hAnsi="Calibri"/>
          <w:b/>
          <w:spacing w:val="-5"/>
          <w:sz w:val="22"/>
        </w:rPr>
        <w:t> </w:t>
      </w:r>
      <w:r>
        <w:rPr>
          <w:rFonts w:ascii="Calibri" w:hAnsi="Calibri"/>
          <w:b/>
          <w:sz w:val="22"/>
        </w:rPr>
        <w:t>CAyT</w:t>
      </w:r>
      <w:r>
        <w:rPr>
          <w:rFonts w:ascii="Calibri" w:hAnsi="Calibri"/>
          <w:b/>
          <w:spacing w:val="-5"/>
          <w:sz w:val="22"/>
        </w:rPr>
        <w:t> </w:t>
      </w:r>
      <w:r>
        <w:rPr>
          <w:rFonts w:ascii="Calibri" w:hAnsi="Calibri"/>
          <w:b/>
          <w:sz w:val="22"/>
        </w:rPr>
        <w:t>N°</w:t>
      </w:r>
      <w:r>
        <w:rPr>
          <w:rFonts w:ascii="Calibri" w:hAnsi="Calibri"/>
          <w:b/>
          <w:spacing w:val="-5"/>
          <w:sz w:val="22"/>
        </w:rPr>
        <w:t> </w:t>
      </w:r>
      <w:r>
        <w:rPr>
          <w:rFonts w:ascii="Calibri" w:hAnsi="Calibri"/>
          <w:b/>
          <w:sz w:val="22"/>
        </w:rPr>
        <w:t>4</w:t>
      </w:r>
      <w:r>
        <w:rPr>
          <w:rFonts w:ascii="Calibri" w:hAnsi="Calibri"/>
          <w:b/>
          <w:spacing w:val="-3"/>
          <w:sz w:val="22"/>
        </w:rPr>
        <w:t> </w:t>
      </w:r>
      <w:r>
        <w:rPr>
          <w:rFonts w:ascii="Calibri" w:hAnsi="Calibri"/>
          <w:b/>
          <w:sz w:val="22"/>
        </w:rPr>
        <w:t>c/</w:t>
      </w:r>
      <w:r>
        <w:rPr>
          <w:rFonts w:ascii="Calibri" w:hAnsi="Calibri"/>
          <w:b/>
          <w:spacing w:val="-5"/>
          <w:sz w:val="22"/>
        </w:rPr>
        <w:t> </w:t>
      </w:r>
      <w:r>
        <w:rPr>
          <w:rFonts w:ascii="Calibri" w:hAnsi="Calibri"/>
          <w:b/>
          <w:sz w:val="22"/>
        </w:rPr>
        <w:t>GCBA</w:t>
      </w:r>
      <w:r>
        <w:rPr>
          <w:rFonts w:ascii="Calibri" w:hAnsi="Calibri"/>
          <w:b/>
          <w:spacing w:val="-1"/>
          <w:sz w:val="22"/>
        </w:rPr>
        <w:t> </w:t>
      </w:r>
      <w:r>
        <w:rPr>
          <w:rFonts w:ascii="Calibri" w:hAnsi="Calibri"/>
          <w:b/>
          <w:sz w:val="22"/>
        </w:rPr>
        <w:t>y</w:t>
      </w:r>
      <w:r>
        <w:rPr>
          <w:rFonts w:ascii="Calibri" w:hAnsi="Calibri"/>
          <w:b/>
          <w:spacing w:val="-5"/>
          <w:sz w:val="22"/>
        </w:rPr>
        <w:t> </w:t>
      </w:r>
      <w:r>
        <w:rPr>
          <w:rFonts w:ascii="Calibri" w:hAnsi="Calibri"/>
          <w:b/>
          <w:sz w:val="22"/>
        </w:rPr>
        <w:t>otros</w:t>
      </w:r>
      <w:r>
        <w:rPr>
          <w:rFonts w:ascii="Calibri" w:hAnsi="Calibri"/>
          <w:b/>
          <w:spacing w:val="-5"/>
          <w:sz w:val="22"/>
        </w:rPr>
        <w:t> </w:t>
      </w:r>
      <w:r>
        <w:rPr>
          <w:rFonts w:ascii="Calibri" w:hAnsi="Calibri"/>
          <w:b/>
          <w:sz w:val="22"/>
        </w:rPr>
        <w:t>s/</w:t>
      </w:r>
      <w:r>
        <w:rPr>
          <w:rFonts w:ascii="Calibri" w:hAnsi="Calibri"/>
          <w:b/>
          <w:spacing w:val="-4"/>
          <w:sz w:val="22"/>
        </w:rPr>
        <w:t> </w:t>
      </w:r>
      <w:r>
        <w:rPr>
          <w:rFonts w:ascii="Calibri" w:hAnsi="Calibri"/>
          <w:b/>
          <w:sz w:val="22"/>
        </w:rPr>
        <w:t>Incidente</w:t>
      </w:r>
      <w:r>
        <w:rPr>
          <w:rFonts w:ascii="Calibri" w:hAnsi="Calibri"/>
          <w:b/>
          <w:spacing w:val="-3"/>
          <w:sz w:val="22"/>
        </w:rPr>
        <w:t> </w:t>
      </w:r>
      <w:r>
        <w:rPr>
          <w:rFonts w:ascii="Calibri" w:hAnsi="Calibri"/>
          <w:b/>
          <w:sz w:val="22"/>
        </w:rPr>
        <w:t>de</w:t>
      </w:r>
      <w:r>
        <w:rPr>
          <w:rFonts w:ascii="Calibri" w:hAnsi="Calibri"/>
          <w:b/>
          <w:spacing w:val="-3"/>
          <w:sz w:val="22"/>
        </w:rPr>
        <w:t> </w:t>
      </w:r>
      <w:r>
        <w:rPr>
          <w:rFonts w:ascii="Calibri" w:hAnsi="Calibri"/>
          <w:b/>
          <w:spacing w:val="-2"/>
          <w:sz w:val="22"/>
        </w:rPr>
        <w:t>apelación”</w:t>
      </w:r>
    </w:p>
    <w:p>
      <w:pPr>
        <w:pStyle w:val="BodyText"/>
        <w:ind w:left="0"/>
        <w:rPr>
          <w:rFonts w:ascii="Calibri"/>
          <w:b/>
          <w:sz w:val="22"/>
        </w:rPr>
      </w:pPr>
    </w:p>
    <w:p>
      <w:pPr>
        <w:pStyle w:val="BodyText"/>
        <w:spacing w:before="10"/>
        <w:ind w:left="0"/>
        <w:rPr>
          <w:rFonts w:ascii="Calibri"/>
          <w:b/>
          <w:sz w:val="22"/>
        </w:rPr>
      </w:pPr>
    </w:p>
    <w:p>
      <w:pPr>
        <w:pStyle w:val="BodyText"/>
        <w:jc w:val="both"/>
      </w:pPr>
      <w:r>
        <w:rPr/>
        <w:t>En</w:t>
      </w:r>
      <w:r>
        <w:rPr>
          <w:spacing w:val="-1"/>
        </w:rPr>
        <w:t> </w:t>
      </w:r>
      <w:r>
        <w:rPr/>
        <w:t>la</w:t>
      </w:r>
      <w:r>
        <w:rPr>
          <w:spacing w:val="-1"/>
        </w:rPr>
        <w:t> </w:t>
      </w:r>
      <w:r>
        <w:rPr/>
        <w:t>Ciudad de</w:t>
      </w:r>
      <w:r>
        <w:rPr>
          <w:spacing w:val="-2"/>
        </w:rPr>
        <w:t> </w:t>
      </w:r>
      <w:r>
        <w:rPr/>
        <w:t>Buenos</w:t>
      </w:r>
      <w:r>
        <w:rPr>
          <w:spacing w:val="2"/>
        </w:rPr>
        <w:t> </w:t>
      </w:r>
      <w:r>
        <w:rPr>
          <w:spacing w:val="-2"/>
        </w:rPr>
        <w:t>Aires.</w:t>
      </w:r>
    </w:p>
    <w:p>
      <w:pPr>
        <w:pStyle w:val="BodyText"/>
        <w:ind w:left="0"/>
      </w:pPr>
    </w:p>
    <w:p>
      <w:pPr>
        <w:pStyle w:val="BodyText"/>
        <w:ind w:left="0"/>
      </w:pPr>
    </w:p>
    <w:p>
      <w:pPr>
        <w:pStyle w:val="BodyText"/>
        <w:spacing w:line="360" w:lineRule="auto"/>
        <w:ind w:right="257"/>
        <w:jc w:val="both"/>
      </w:pPr>
      <w:r>
        <w:rPr/>
        <w:t>VISTOS: Estos autos elevados al acuerdo para resolver el recurso de apelación interpuesto y fundado por la parte demandada (actuación N° 1172760/2024 de los autos principales), cuyo traslado</w:t>
      </w:r>
      <w:r>
        <w:rPr>
          <w:spacing w:val="-1"/>
        </w:rPr>
        <w:t> </w:t>
      </w:r>
      <w:r>
        <w:rPr/>
        <w:t>no fue</w:t>
      </w:r>
      <w:r>
        <w:rPr>
          <w:spacing w:val="-1"/>
        </w:rPr>
        <w:t> </w:t>
      </w:r>
      <w:r>
        <w:rPr/>
        <w:t>contestado,</w:t>
      </w:r>
      <w:r>
        <w:rPr>
          <w:spacing w:val="-1"/>
        </w:rPr>
        <w:t> </w:t>
      </w:r>
      <w:r>
        <w:rPr/>
        <w:t>contra</w:t>
      </w:r>
      <w:r>
        <w:rPr>
          <w:spacing w:val="-2"/>
        </w:rPr>
        <w:t> </w:t>
      </w:r>
      <w:r>
        <w:rPr/>
        <w:t>la</w:t>
      </w:r>
      <w:r>
        <w:rPr>
          <w:spacing w:val="-1"/>
        </w:rPr>
        <w:t> </w:t>
      </w:r>
      <w:r>
        <w:rPr/>
        <w:t>resolución del 30 de</w:t>
      </w:r>
      <w:r>
        <w:rPr>
          <w:spacing w:val="-1"/>
        </w:rPr>
        <w:t> </w:t>
      </w:r>
      <w:r>
        <w:rPr/>
        <w:t>mayo de 2024 (actuación N° 1130430/2024 de los autos principales). Luego, tomaron intervención el Ministerio Público Tutelar y Fiscal ante la Cámara y las actuaciones quedaron en condiciones de examinar la cuestión propuesta (actuaciones N° 1352468/2024, 1704947/2024 y </w:t>
      </w:r>
      <w:r>
        <w:rPr/>
        <w:t>1764595/2024, </w:t>
      </w:r>
      <w:r>
        <w:rPr>
          <w:spacing w:val="-2"/>
        </w:rPr>
        <w:t>respectivamente).</w:t>
      </w:r>
    </w:p>
    <w:p>
      <w:pPr>
        <w:pStyle w:val="BodyText"/>
        <w:spacing w:before="139"/>
        <w:ind w:left="0"/>
      </w:pPr>
    </w:p>
    <w:p>
      <w:pPr>
        <w:pStyle w:val="BodyText"/>
      </w:pPr>
      <w:r>
        <w:rPr>
          <w:spacing w:val="-2"/>
        </w:rPr>
        <w:t>CONSIDERANDO:</w:t>
      </w:r>
    </w:p>
    <w:p>
      <w:pPr>
        <w:pStyle w:val="BodyText"/>
        <w:ind w:left="0"/>
      </w:pPr>
    </w:p>
    <w:p>
      <w:pPr>
        <w:pStyle w:val="BodyText"/>
        <w:ind w:left="0"/>
      </w:pPr>
    </w:p>
    <w:p>
      <w:pPr>
        <w:pStyle w:val="ListParagraph"/>
        <w:numPr>
          <w:ilvl w:val="0"/>
          <w:numId w:val="1"/>
        </w:numPr>
        <w:tabs>
          <w:tab w:pos="1185" w:val="left" w:leader="none"/>
        </w:tabs>
        <w:spacing w:line="360" w:lineRule="auto" w:before="0" w:after="0"/>
        <w:ind w:left="262" w:right="254" w:firstLine="707"/>
        <w:jc w:val="both"/>
        <w:rPr>
          <w:sz w:val="24"/>
        </w:rPr>
      </w:pPr>
      <w:r>
        <w:rPr>
          <w:sz w:val="24"/>
        </w:rPr>
        <w:t>Norma Beatriz SAS, en su carácter de Titular de la Asesoría Tutelar de Primera Instancia</w:t>
      </w:r>
      <w:r>
        <w:rPr>
          <w:spacing w:val="-2"/>
          <w:sz w:val="24"/>
        </w:rPr>
        <w:t> </w:t>
      </w:r>
      <w:r>
        <w:rPr>
          <w:sz w:val="24"/>
        </w:rPr>
        <w:t>N° 4</w:t>
      </w:r>
      <w:r>
        <w:rPr>
          <w:spacing w:val="-1"/>
          <w:sz w:val="24"/>
        </w:rPr>
        <w:t> </w:t>
      </w:r>
      <w:r>
        <w:rPr>
          <w:sz w:val="24"/>
        </w:rPr>
        <w:t>del</w:t>
      </w:r>
      <w:r>
        <w:rPr>
          <w:spacing w:val="-1"/>
          <w:sz w:val="24"/>
        </w:rPr>
        <w:t> </w:t>
      </w:r>
      <w:r>
        <w:rPr>
          <w:sz w:val="24"/>
        </w:rPr>
        <w:t>fuero, inició</w:t>
      </w:r>
      <w:r>
        <w:rPr>
          <w:spacing w:val="-1"/>
          <w:sz w:val="24"/>
        </w:rPr>
        <w:t> </w:t>
      </w:r>
      <w:r>
        <w:rPr>
          <w:sz w:val="24"/>
        </w:rPr>
        <w:t>la</w:t>
      </w:r>
      <w:r>
        <w:rPr>
          <w:spacing w:val="-2"/>
          <w:sz w:val="24"/>
        </w:rPr>
        <w:t> </w:t>
      </w:r>
      <w:r>
        <w:rPr>
          <w:sz w:val="24"/>
        </w:rPr>
        <w:t>presente acción de</w:t>
      </w:r>
      <w:r>
        <w:rPr>
          <w:spacing w:val="-2"/>
          <w:sz w:val="24"/>
        </w:rPr>
        <w:t> </w:t>
      </w:r>
      <w:r>
        <w:rPr>
          <w:sz w:val="24"/>
        </w:rPr>
        <w:t>amparo contra el</w:t>
      </w:r>
      <w:r>
        <w:rPr>
          <w:spacing w:val="-1"/>
          <w:sz w:val="24"/>
        </w:rPr>
        <w:t> </w:t>
      </w:r>
      <w:r>
        <w:rPr>
          <w:sz w:val="24"/>
        </w:rPr>
        <w:t>Ministerio</w:t>
      </w:r>
      <w:r>
        <w:rPr>
          <w:spacing w:val="-1"/>
          <w:sz w:val="24"/>
        </w:rPr>
        <w:t> </w:t>
      </w:r>
      <w:r>
        <w:rPr>
          <w:sz w:val="24"/>
        </w:rPr>
        <w:t>de</w:t>
      </w:r>
      <w:r>
        <w:rPr>
          <w:spacing w:val="-2"/>
          <w:sz w:val="24"/>
        </w:rPr>
        <w:t> </w:t>
      </w:r>
      <w:r>
        <w:rPr>
          <w:sz w:val="24"/>
        </w:rPr>
        <w:t>Salud - Gobierno de la Ciudad de Buenos Aires (en adelante, GCBA) y “[…] FACOEP S.E.- (Sociedad del Estado Facturación y Cobranza de los Efectores Públicos S.E.) y/o cualquier otra entidad gubernamental que pudiera resultar responsable, en los términos de los</w:t>
      </w:r>
      <w:r>
        <w:rPr>
          <w:spacing w:val="40"/>
          <w:sz w:val="24"/>
        </w:rPr>
        <w:t> </w:t>
      </w:r>
      <w:r>
        <w:rPr>
          <w:sz w:val="24"/>
        </w:rPr>
        <w:t>artículos 43 de la Constitución Nacional, 14 de la Constitución de la Ciudad Autónoma de Buenos Aires, normas concordantes y conforme los términos previstos en la ley 2.145, por [entender que se] halla[ba] gravemente afectado el derecho de [su] representado, [V.E.B.M.L] al acceso a la salud integral y al tratamiento adecuado, restringiéndose ilegítimamente</w:t>
      </w:r>
      <w:r>
        <w:rPr>
          <w:spacing w:val="75"/>
          <w:sz w:val="24"/>
        </w:rPr>
        <w:t> </w:t>
      </w:r>
      <w:r>
        <w:rPr>
          <w:sz w:val="24"/>
        </w:rPr>
        <w:t>su</w:t>
      </w:r>
      <w:r>
        <w:rPr>
          <w:spacing w:val="78"/>
          <w:sz w:val="24"/>
        </w:rPr>
        <w:t> </w:t>
      </w:r>
      <w:r>
        <w:rPr>
          <w:sz w:val="24"/>
        </w:rPr>
        <w:t>desarrollo”</w:t>
      </w:r>
      <w:r>
        <w:rPr>
          <w:spacing w:val="77"/>
          <w:sz w:val="24"/>
        </w:rPr>
        <w:t> </w:t>
      </w:r>
      <w:r>
        <w:rPr>
          <w:sz w:val="24"/>
        </w:rPr>
        <w:t>(actuación</w:t>
      </w:r>
      <w:r>
        <w:rPr>
          <w:spacing w:val="78"/>
          <w:sz w:val="24"/>
        </w:rPr>
        <w:t> </w:t>
      </w:r>
      <w:r>
        <w:rPr>
          <w:sz w:val="24"/>
        </w:rPr>
        <w:t>N°</w:t>
      </w:r>
      <w:r>
        <w:rPr>
          <w:spacing w:val="79"/>
          <w:sz w:val="24"/>
        </w:rPr>
        <w:t> </w:t>
      </w:r>
      <w:r>
        <w:rPr>
          <w:sz w:val="24"/>
        </w:rPr>
        <w:t>1115191/2024</w:t>
      </w:r>
      <w:r>
        <w:rPr>
          <w:spacing w:val="78"/>
          <w:sz w:val="24"/>
        </w:rPr>
        <w:t> </w:t>
      </w:r>
      <w:r>
        <w:rPr>
          <w:sz w:val="24"/>
        </w:rPr>
        <w:t>de</w:t>
      </w:r>
      <w:r>
        <w:rPr>
          <w:spacing w:val="77"/>
          <w:sz w:val="24"/>
        </w:rPr>
        <w:t> </w:t>
      </w:r>
      <w:r>
        <w:rPr>
          <w:sz w:val="24"/>
        </w:rPr>
        <w:t>los</w:t>
      </w:r>
      <w:r>
        <w:rPr>
          <w:spacing w:val="78"/>
          <w:sz w:val="24"/>
        </w:rPr>
        <w:t> </w:t>
      </w:r>
      <w:r>
        <w:rPr>
          <w:sz w:val="24"/>
        </w:rPr>
        <w:t>autos</w:t>
      </w:r>
      <w:r>
        <w:rPr>
          <w:spacing w:val="79"/>
          <w:sz w:val="24"/>
        </w:rPr>
        <w:t> </w:t>
      </w:r>
      <w:r>
        <w:rPr>
          <w:spacing w:val="-2"/>
          <w:sz w:val="24"/>
        </w:rPr>
        <w:t>principales).</w:t>
      </w:r>
    </w:p>
    <w:p>
      <w:pPr>
        <w:pStyle w:val="ListParagraph"/>
        <w:spacing w:after="0" w:line="360" w:lineRule="auto"/>
        <w:jc w:val="both"/>
        <w:rPr>
          <w:sz w:val="24"/>
        </w:rPr>
        <w:sectPr>
          <w:headerReference w:type="default" r:id="rId5"/>
          <w:footerReference w:type="default" r:id="rId6"/>
          <w:type w:val="continuous"/>
          <w:pgSz w:w="12240" w:h="15840"/>
          <w:pgMar w:header="294" w:footer="961" w:top="1780" w:bottom="1160" w:left="1440" w:right="1440"/>
          <w:pgNumType w:start="1"/>
        </w:sectPr>
      </w:pPr>
    </w:p>
    <w:p>
      <w:pPr>
        <w:pStyle w:val="BodyText"/>
        <w:spacing w:line="360" w:lineRule="auto" w:before="80"/>
        <w:ind w:right="261"/>
        <w:jc w:val="both"/>
      </w:pPr>
      <w:r>
        <w:rPr/>
        <w:t>Precisamente solicitó que “[…] se orden[ase] a la demandada otorgar la prestación de Transporte Escolar, de forma continua e ininterrumpida de [V.E.B.M.L.], desde su domicilio en …</w:t>
      </w:r>
      <w:r>
        <w:rPr>
          <w:spacing w:val="2"/>
        </w:rPr>
        <w:t> </w:t>
      </w:r>
      <w:r>
        <w:rPr/>
        <w:t>-punto</w:t>
      </w:r>
      <w:r>
        <w:rPr>
          <w:spacing w:val="-2"/>
        </w:rPr>
        <w:t> </w:t>
      </w:r>
      <w:r>
        <w:rPr/>
        <w:t>de</w:t>
      </w:r>
      <w:r>
        <w:rPr>
          <w:spacing w:val="-1"/>
        </w:rPr>
        <w:t> </w:t>
      </w:r>
      <w:r>
        <w:rPr/>
        <w:t>encuentro …-</w:t>
      </w:r>
      <w:r>
        <w:rPr>
          <w:spacing w:val="-1"/>
        </w:rPr>
        <w:t> </w:t>
      </w:r>
      <w:r>
        <w:rPr/>
        <w:t>hasta</w:t>
      </w:r>
      <w:r>
        <w:rPr>
          <w:spacing w:val="-1"/>
        </w:rPr>
        <w:t> </w:t>
      </w:r>
      <w:r>
        <w:rPr/>
        <w:t>el</w:t>
      </w:r>
      <w:r>
        <w:rPr>
          <w:spacing w:val="4"/>
        </w:rPr>
        <w:t> </w:t>
      </w:r>
      <w:r>
        <w:rPr/>
        <w:t>Centro</w:t>
      </w:r>
      <w:r>
        <w:rPr>
          <w:spacing w:val="-1"/>
        </w:rPr>
        <w:t> </w:t>
      </w:r>
      <w:r>
        <w:rPr/>
        <w:t>Educativo Terapéutico</w:t>
      </w:r>
      <w:r>
        <w:rPr>
          <w:spacing w:val="1"/>
        </w:rPr>
        <w:t> </w:t>
      </w:r>
      <w:r>
        <w:rPr/>
        <w:t>`…´, sito</w:t>
      </w:r>
      <w:r>
        <w:rPr>
          <w:spacing w:val="1"/>
        </w:rPr>
        <w:t> </w:t>
      </w:r>
      <w:r>
        <w:rPr>
          <w:spacing w:val="-5"/>
        </w:rPr>
        <w:t>en</w:t>
      </w:r>
    </w:p>
    <w:p>
      <w:pPr>
        <w:pStyle w:val="BodyText"/>
        <w:spacing w:line="360" w:lineRule="auto"/>
        <w:ind w:right="255"/>
        <w:jc w:val="both"/>
      </w:pPr>
      <w:r>
        <w:rPr/>
        <w:t>… de</w:t>
      </w:r>
      <w:r>
        <w:rPr>
          <w:spacing w:val="-1"/>
        </w:rPr>
        <w:t> </w:t>
      </w:r>
      <w:r>
        <w:rPr/>
        <w:t>esta</w:t>
      </w:r>
      <w:r>
        <w:rPr>
          <w:spacing w:val="-1"/>
        </w:rPr>
        <w:t> </w:t>
      </w:r>
      <w:r>
        <w:rPr/>
        <w:t>Ciudad</w:t>
      </w:r>
      <w:r>
        <w:rPr>
          <w:spacing w:val="-1"/>
        </w:rPr>
        <w:t> </w:t>
      </w:r>
      <w:r>
        <w:rPr/>
        <w:t>de</w:t>
      </w:r>
      <w:r>
        <w:rPr>
          <w:spacing w:val="-1"/>
        </w:rPr>
        <w:t> </w:t>
      </w:r>
      <w:r>
        <w:rPr/>
        <w:t>Buenos Aires, de</w:t>
      </w:r>
      <w:r>
        <w:rPr>
          <w:spacing w:val="-1"/>
        </w:rPr>
        <w:t> </w:t>
      </w:r>
      <w:r>
        <w:rPr/>
        <w:t>lunes</w:t>
      </w:r>
      <w:r>
        <w:rPr>
          <w:spacing w:val="-1"/>
        </w:rPr>
        <w:t> </w:t>
      </w:r>
      <w:r>
        <w:rPr/>
        <w:t>a</w:t>
      </w:r>
      <w:r>
        <w:rPr>
          <w:spacing w:val="-1"/>
        </w:rPr>
        <w:t> </w:t>
      </w:r>
      <w:r>
        <w:rPr/>
        <w:t>viernes, en el horario</w:t>
      </w:r>
      <w:r>
        <w:rPr>
          <w:spacing w:val="-1"/>
        </w:rPr>
        <w:t> </w:t>
      </w:r>
      <w:r>
        <w:rPr/>
        <w:t>de</w:t>
      </w:r>
      <w:r>
        <w:rPr>
          <w:spacing w:val="-1"/>
        </w:rPr>
        <w:t> </w:t>
      </w:r>
      <w:r>
        <w:rPr/>
        <w:t>12.00 a</w:t>
      </w:r>
      <w:r>
        <w:rPr>
          <w:spacing w:val="-1"/>
        </w:rPr>
        <w:t> </w:t>
      </w:r>
      <w:r>
        <w:rPr/>
        <w:t>16.000 hs.</w:t>
      </w:r>
      <w:r>
        <w:rPr>
          <w:spacing w:val="-2"/>
        </w:rPr>
        <w:t> </w:t>
      </w:r>
      <w:r>
        <w:rPr/>
        <w:t>o al Centro Educativo que su situación de salud requiera en un futuro en los horarios que estable[cieran] los profesionales de salud que lo trata[sen]. Ello, de</w:t>
      </w:r>
      <w:r>
        <w:rPr>
          <w:spacing w:val="-2"/>
        </w:rPr>
        <w:t> </w:t>
      </w:r>
      <w:r>
        <w:rPr/>
        <w:t>modo que el acceso a la salud sea conforme a los estándares que emana[sen] de los tratados de derechos humanos, en las condiciones de su vigencia”. Como medida cautelar peticionó que “[…] de manera urgente se orden[ara] a la demandada otorgar la prestación de Transporte Escolar que permit[iera] efectivizar el goce de la salud y pleno desarrollo de [V.E.B.M.L], en pos de continuar potencializando sus capacidades evitando que una demora produzca mayores perjuicios, garantizándole el traslado, en forma continua e ininterrumpida, desde su domicilio […] hasta el Centro Educativo Terapéutico `…´ […], de lunes a viernes, en el horario de 12.00 a 16.000 hs. Ello de manera provisoria y hasta tanto se brind[ase] una solución definitiva conforme el objeto de la presente acción”.</w:t>
      </w:r>
    </w:p>
    <w:p>
      <w:pPr>
        <w:pStyle w:val="BodyText"/>
        <w:spacing w:before="136"/>
        <w:ind w:left="0"/>
      </w:pPr>
    </w:p>
    <w:p>
      <w:pPr>
        <w:pStyle w:val="ListParagraph"/>
        <w:numPr>
          <w:ilvl w:val="0"/>
          <w:numId w:val="1"/>
        </w:numPr>
        <w:tabs>
          <w:tab w:pos="1250" w:val="left" w:leader="none"/>
        </w:tabs>
        <w:spacing w:line="360" w:lineRule="auto" w:before="0" w:after="0"/>
        <w:ind w:left="262" w:right="258" w:firstLine="707"/>
        <w:jc w:val="both"/>
        <w:rPr>
          <w:sz w:val="24"/>
        </w:rPr>
      </w:pPr>
      <w:r>
        <w:rPr>
          <w:sz w:val="24"/>
        </w:rPr>
        <w:t>El 30 de mayo de 2024, el juzgado de la anterior instancia hizo lugar a la medida cautelar peticionada y, en consecuencia, ordenó “[…] a las codemandadas GCBA y FACOEP S.E. que en el plazo de dos (2) días arbitra[sen] los medios necesarios para garantizar a [V.E.B.M.L] el transporte necesario a los fines de asistir en forma continua e ininterrumpida, desde su domicilio en la calle … - punto de encuentro …- hasta el Centro Educativo Terapéutico `…´, sito en … de esta Ciudad de Buenos Aires, de lunes a viernes, en el horario de 12.00 a 16.00 hs, hasta tanto se dict[ara] sentencia definitiva en la causa”. Para así resolver, realizó una reseña del bloque de constitucionalidad y convencionalidad sobre el derecho a la salud —particularmente en lo que concernía a los niños y a las personas con discapacidad—. Asimismo, evaluó el marco normativo de la FACOEP y del Programa Federal Incluir Salud, a la luz de las leyes nacionales y locales que imponían a</w:t>
      </w:r>
      <w:r>
        <w:rPr>
          <w:spacing w:val="40"/>
          <w:sz w:val="24"/>
        </w:rPr>
        <w:t> </w:t>
      </w:r>
      <w:r>
        <w:rPr>
          <w:sz w:val="24"/>
        </w:rPr>
        <w:t>los agentes del seguro de salud, que incluyeran obligatoriamente entre sus prestaciones a todas aquellas necesarias para la rehabilitación de las personas con discapacidad, en sus distintas</w:t>
      </w:r>
      <w:r>
        <w:rPr>
          <w:spacing w:val="29"/>
          <w:sz w:val="24"/>
        </w:rPr>
        <w:t> </w:t>
      </w:r>
      <w:r>
        <w:rPr>
          <w:sz w:val="24"/>
        </w:rPr>
        <w:t>modalidades.</w:t>
      </w:r>
      <w:r>
        <w:rPr>
          <w:spacing w:val="29"/>
          <w:sz w:val="24"/>
        </w:rPr>
        <w:t> </w:t>
      </w:r>
      <w:r>
        <w:rPr>
          <w:sz w:val="24"/>
        </w:rPr>
        <w:t>Además,</w:t>
      </w:r>
      <w:r>
        <w:rPr>
          <w:spacing w:val="29"/>
          <w:sz w:val="24"/>
        </w:rPr>
        <w:t> </w:t>
      </w:r>
      <w:r>
        <w:rPr>
          <w:sz w:val="24"/>
        </w:rPr>
        <w:t>analizó</w:t>
      </w:r>
      <w:r>
        <w:rPr>
          <w:spacing w:val="28"/>
          <w:sz w:val="24"/>
        </w:rPr>
        <w:t> </w:t>
      </w:r>
      <w:r>
        <w:rPr>
          <w:sz w:val="24"/>
        </w:rPr>
        <w:t>las</w:t>
      </w:r>
      <w:r>
        <w:rPr>
          <w:spacing w:val="29"/>
          <w:sz w:val="24"/>
        </w:rPr>
        <w:t> </w:t>
      </w:r>
      <w:r>
        <w:rPr>
          <w:sz w:val="24"/>
        </w:rPr>
        <w:t>constancias</w:t>
      </w:r>
      <w:r>
        <w:rPr>
          <w:spacing w:val="28"/>
          <w:sz w:val="24"/>
        </w:rPr>
        <w:t> </w:t>
      </w:r>
      <w:r>
        <w:rPr>
          <w:sz w:val="24"/>
        </w:rPr>
        <w:t>de</w:t>
      </w:r>
      <w:r>
        <w:rPr>
          <w:spacing w:val="28"/>
          <w:sz w:val="24"/>
        </w:rPr>
        <w:t> </w:t>
      </w:r>
      <w:r>
        <w:rPr>
          <w:sz w:val="24"/>
        </w:rPr>
        <w:t>la</w:t>
      </w:r>
      <w:r>
        <w:rPr>
          <w:spacing w:val="29"/>
          <w:sz w:val="24"/>
        </w:rPr>
        <w:t> </w:t>
      </w:r>
      <w:r>
        <w:rPr>
          <w:sz w:val="24"/>
        </w:rPr>
        <w:t>causa</w:t>
      </w:r>
      <w:r>
        <w:rPr>
          <w:spacing w:val="33"/>
          <w:sz w:val="24"/>
        </w:rPr>
        <w:t> </w:t>
      </w:r>
      <w:r>
        <w:rPr>
          <w:sz w:val="24"/>
        </w:rPr>
        <w:t>y</w:t>
      </w:r>
      <w:r>
        <w:rPr>
          <w:spacing w:val="25"/>
          <w:sz w:val="24"/>
        </w:rPr>
        <w:t> </w:t>
      </w:r>
      <w:r>
        <w:rPr>
          <w:sz w:val="24"/>
        </w:rPr>
        <w:t>remarcó</w:t>
      </w:r>
      <w:r>
        <w:rPr>
          <w:spacing w:val="28"/>
          <w:sz w:val="24"/>
        </w:rPr>
        <w:t> </w:t>
      </w:r>
      <w:r>
        <w:rPr>
          <w:sz w:val="24"/>
        </w:rPr>
        <w:t>el</w:t>
      </w:r>
      <w:r>
        <w:rPr>
          <w:spacing w:val="30"/>
          <w:sz w:val="24"/>
        </w:rPr>
        <w:t> </w:t>
      </w:r>
      <w:r>
        <w:rPr>
          <w:spacing w:val="-2"/>
          <w:sz w:val="24"/>
        </w:rPr>
        <w:t>informe</w:t>
      </w:r>
    </w:p>
    <w:p>
      <w:pPr>
        <w:pStyle w:val="ListParagraph"/>
        <w:spacing w:after="0" w:line="360" w:lineRule="auto"/>
        <w:jc w:val="both"/>
        <w:rPr>
          <w:sz w:val="24"/>
        </w:rPr>
        <w:sectPr>
          <w:pgSz w:w="12240" w:h="15840"/>
          <w:pgMar w:header="294" w:footer="961" w:top="1780" w:bottom="1160" w:left="1440" w:right="1440"/>
        </w:sectPr>
      </w:pPr>
    </w:p>
    <w:p>
      <w:pPr>
        <w:pStyle w:val="BodyText"/>
        <w:spacing w:line="360" w:lineRule="auto" w:before="80"/>
        <w:ind w:right="255"/>
        <w:jc w:val="both"/>
      </w:pPr>
      <w:r>
        <w:rPr/>
        <w:t>confeccionado por el CET de “…”, del que se desprendía que “[…] desde el equipo de dirección del CET se considera[ba] que la asistencia ininterrumpida al dispositivo p[odía] potenciar el desarrollo del concurrente B. […]. En este marco fue sugerido que se solicit[ara] el apoyo de transporte, brindando las herramientas y recursos necesarios que la familia requi[riere]. Para cumplir estos objetivos, se consider[ó] apropiado un transporte de lunes a viernes en el horario entre las 15.30 a 19.00 horas, a convenir con la institución y</w:t>
      </w:r>
      <w:r>
        <w:rPr>
          <w:spacing w:val="-5"/>
        </w:rPr>
        <w:t> </w:t>
      </w:r>
      <w:r>
        <w:rPr/>
        <w:t>la familia.// Al no contar con un prestador de transporte B. [iba] acompañado por su madre y sus hermanos, quienes también lo retira[ban]. Se recom[endó] añadir un servicio de transporte, lo cual mejoraría</w:t>
      </w:r>
      <w:r>
        <w:rPr>
          <w:spacing w:val="-2"/>
        </w:rPr>
        <w:t> </w:t>
      </w:r>
      <w:r>
        <w:rPr/>
        <w:t>la calidad de</w:t>
      </w:r>
      <w:r>
        <w:rPr>
          <w:spacing w:val="-1"/>
        </w:rPr>
        <w:t> </w:t>
      </w:r>
      <w:r>
        <w:rPr/>
        <w:t>vida</w:t>
      </w:r>
      <w:r>
        <w:rPr>
          <w:spacing w:val="-1"/>
        </w:rPr>
        <w:t> </w:t>
      </w:r>
      <w:r>
        <w:rPr/>
        <w:t>de la</w:t>
      </w:r>
      <w:r>
        <w:rPr>
          <w:spacing w:val="-1"/>
        </w:rPr>
        <w:t> </w:t>
      </w:r>
      <w:r>
        <w:rPr/>
        <w:t>familia y</w:t>
      </w:r>
      <w:r>
        <w:rPr>
          <w:spacing w:val="-5"/>
        </w:rPr>
        <w:t> </w:t>
      </w:r>
      <w:r>
        <w:rPr/>
        <w:t>los objetivos terapéuticos que se propon[ían] desde la institución. El horario que cumpl[ía] e[ra] de 12 horas a 16 horas,</w:t>
      </w:r>
      <w:r>
        <w:rPr>
          <w:spacing w:val="40"/>
        </w:rPr>
        <w:t> </w:t>
      </w:r>
      <w:r>
        <w:rPr/>
        <w:t>de lunes a viernes. C[ontaba] con dos prestaciones según lo propuesto por el marco básico, estas [eran]: Fonoaudiología y Terapia ocupacional. A su vez, c[ontaba] con talleres del turno tarde: taller de educación física, taller de musicoterapia, taller de huerta, taller de arte y taller de psicomotricidad. Los talleres propuestos por los referentes de sala [eran]: taller pedagógico, taller de socialización, taller de actividad de vida diaria (avd), taller de desarrollo de técnicas grafo plásticos y taller expresión corporal” En ese contexto, sostuvo que la crítica situación de salud que atravesaba el menor y la necesidad de transporte que requería su cuadro de salud lo llevaban a tener por acreditado el requisito de verosimilitud en el derecho. En cuanto al peligro en la demora indicó que surgía manifiesto toda vez que la</w:t>
      </w:r>
      <w:r>
        <w:rPr>
          <w:spacing w:val="-2"/>
        </w:rPr>
        <w:t> </w:t>
      </w:r>
      <w:r>
        <w:rPr/>
        <w:t>falta</w:t>
      </w:r>
      <w:r>
        <w:rPr>
          <w:spacing w:val="-3"/>
        </w:rPr>
        <w:t> </w:t>
      </w:r>
      <w:r>
        <w:rPr/>
        <w:t>de</w:t>
      </w:r>
      <w:r>
        <w:rPr>
          <w:spacing w:val="-3"/>
        </w:rPr>
        <w:t> </w:t>
      </w:r>
      <w:r>
        <w:rPr/>
        <w:t>prestación</w:t>
      </w:r>
      <w:r>
        <w:rPr>
          <w:spacing w:val="-2"/>
        </w:rPr>
        <w:t> </w:t>
      </w:r>
      <w:r>
        <w:rPr/>
        <w:t>del servicio</w:t>
      </w:r>
      <w:r>
        <w:rPr>
          <w:spacing w:val="-2"/>
        </w:rPr>
        <w:t> </w:t>
      </w:r>
      <w:r>
        <w:rPr/>
        <w:t>de</w:t>
      </w:r>
      <w:r>
        <w:rPr>
          <w:spacing w:val="-2"/>
        </w:rPr>
        <w:t> </w:t>
      </w:r>
      <w:r>
        <w:rPr/>
        <w:t>transporte</w:t>
      </w:r>
      <w:r>
        <w:rPr>
          <w:spacing w:val="-3"/>
        </w:rPr>
        <w:t> </w:t>
      </w:r>
      <w:r>
        <w:rPr/>
        <w:t>ponía</w:t>
      </w:r>
      <w:r>
        <w:rPr>
          <w:spacing w:val="-2"/>
        </w:rPr>
        <w:t> </w:t>
      </w:r>
      <w:r>
        <w:rPr/>
        <w:t>en</w:t>
      </w:r>
      <w:r>
        <w:rPr>
          <w:spacing w:val="-2"/>
        </w:rPr>
        <w:t> </w:t>
      </w:r>
      <w:r>
        <w:rPr/>
        <w:t>crisis</w:t>
      </w:r>
      <w:r>
        <w:rPr>
          <w:spacing w:val="-2"/>
        </w:rPr>
        <w:t> </w:t>
      </w:r>
      <w:r>
        <w:rPr/>
        <w:t>la</w:t>
      </w:r>
      <w:r>
        <w:rPr>
          <w:spacing w:val="-3"/>
        </w:rPr>
        <w:t> </w:t>
      </w:r>
      <w:r>
        <w:rPr/>
        <w:t>escolarización</w:t>
      </w:r>
      <w:r>
        <w:rPr>
          <w:spacing w:val="-2"/>
        </w:rPr>
        <w:t> </w:t>
      </w:r>
      <w:r>
        <w:rPr/>
        <w:t>del</w:t>
      </w:r>
      <w:r>
        <w:rPr>
          <w:spacing w:val="-2"/>
        </w:rPr>
        <w:t> </w:t>
      </w:r>
      <w:r>
        <w:rPr/>
        <w:t>niño y</w:t>
      </w:r>
      <w:r>
        <w:rPr>
          <w:spacing w:val="-7"/>
        </w:rPr>
        <w:t> </w:t>
      </w:r>
      <w:r>
        <w:rPr/>
        <w:t>la continuidad de los tratamientos médicos que realizaba en función de las patologías que </w:t>
      </w:r>
      <w:r>
        <w:rPr>
          <w:spacing w:val="-2"/>
        </w:rPr>
        <w:t>padecía</w:t>
      </w:r>
    </w:p>
    <w:p>
      <w:pPr>
        <w:pStyle w:val="BodyText"/>
        <w:spacing w:before="138"/>
        <w:ind w:left="0"/>
      </w:pPr>
    </w:p>
    <w:p>
      <w:pPr>
        <w:pStyle w:val="ListParagraph"/>
        <w:numPr>
          <w:ilvl w:val="0"/>
          <w:numId w:val="1"/>
        </w:numPr>
        <w:tabs>
          <w:tab w:pos="1484" w:val="left" w:leader="none"/>
        </w:tabs>
        <w:spacing w:line="360" w:lineRule="auto" w:before="0" w:after="0"/>
        <w:ind w:left="262" w:right="260" w:firstLine="707"/>
        <w:jc w:val="both"/>
        <w:rPr>
          <w:sz w:val="24"/>
        </w:rPr>
      </w:pPr>
      <w:r>
        <w:rPr>
          <w:sz w:val="24"/>
        </w:rPr>
        <w:t>Contra la reseñada decisión interpusieron recurso de apelación las codemandadas (GCBA y FACOEP S.E.), quienes, en términos generales, argumentaron</w:t>
      </w:r>
      <w:r>
        <w:rPr>
          <w:spacing w:val="40"/>
          <w:sz w:val="24"/>
        </w:rPr>
        <w:t> </w:t>
      </w:r>
      <w:r>
        <w:rPr>
          <w:sz w:val="24"/>
        </w:rPr>
        <w:t>que i) no tenían legitimación pasiva para cumplir con la pretensión amparista, pues solo colaboraban en la prestación de servicios médico asistenciales para los beneficiarios del Programa; ii) no se cumplían los requisitos</w:t>
      </w:r>
      <w:r>
        <w:rPr>
          <w:spacing w:val="-1"/>
          <w:sz w:val="24"/>
        </w:rPr>
        <w:t> </w:t>
      </w:r>
      <w:r>
        <w:rPr>
          <w:sz w:val="24"/>
        </w:rPr>
        <w:t>para</w:t>
      </w:r>
      <w:r>
        <w:rPr>
          <w:spacing w:val="-1"/>
          <w:sz w:val="24"/>
        </w:rPr>
        <w:t> </w:t>
      </w:r>
      <w:r>
        <w:rPr>
          <w:sz w:val="24"/>
        </w:rPr>
        <w:t>otorgar la medida cautelar solicitada; iii) el apercibimiento</w:t>
      </w:r>
      <w:r>
        <w:rPr>
          <w:spacing w:val="79"/>
          <w:sz w:val="24"/>
        </w:rPr>
        <w:t> </w:t>
      </w:r>
      <w:r>
        <w:rPr>
          <w:sz w:val="24"/>
        </w:rPr>
        <w:t>dispuesto</w:t>
      </w:r>
      <w:r>
        <w:rPr>
          <w:spacing w:val="51"/>
          <w:w w:val="150"/>
          <w:sz w:val="24"/>
        </w:rPr>
        <w:t> </w:t>
      </w:r>
      <w:r>
        <w:rPr>
          <w:sz w:val="24"/>
        </w:rPr>
        <w:t>carecía</w:t>
      </w:r>
      <w:r>
        <w:rPr>
          <w:spacing w:val="79"/>
          <w:sz w:val="24"/>
        </w:rPr>
        <w:t> </w:t>
      </w:r>
      <w:r>
        <w:rPr>
          <w:sz w:val="24"/>
        </w:rPr>
        <w:t>de</w:t>
      </w:r>
      <w:r>
        <w:rPr>
          <w:spacing w:val="79"/>
          <w:sz w:val="24"/>
        </w:rPr>
        <w:t> </w:t>
      </w:r>
      <w:r>
        <w:rPr>
          <w:sz w:val="24"/>
        </w:rPr>
        <w:t>fundamento</w:t>
      </w:r>
      <w:r>
        <w:rPr>
          <w:spacing w:val="79"/>
          <w:sz w:val="24"/>
        </w:rPr>
        <w:t> </w:t>
      </w:r>
      <w:r>
        <w:rPr>
          <w:sz w:val="24"/>
        </w:rPr>
        <w:t>jurídico</w:t>
      </w:r>
      <w:r>
        <w:rPr>
          <w:spacing w:val="52"/>
          <w:w w:val="150"/>
          <w:sz w:val="24"/>
        </w:rPr>
        <w:t> </w:t>
      </w:r>
      <w:r>
        <w:rPr>
          <w:sz w:val="24"/>
        </w:rPr>
        <w:t>y</w:t>
      </w:r>
      <w:r>
        <w:rPr>
          <w:spacing w:val="73"/>
          <w:sz w:val="24"/>
        </w:rPr>
        <w:t> </w:t>
      </w:r>
      <w:r>
        <w:rPr>
          <w:sz w:val="24"/>
        </w:rPr>
        <w:t>fáctico,</w:t>
      </w:r>
      <w:r>
        <w:rPr>
          <w:spacing w:val="50"/>
          <w:w w:val="150"/>
          <w:sz w:val="24"/>
        </w:rPr>
        <w:t> </w:t>
      </w:r>
      <w:r>
        <w:rPr>
          <w:sz w:val="24"/>
        </w:rPr>
        <w:t>dado</w:t>
      </w:r>
      <w:r>
        <w:rPr>
          <w:spacing w:val="50"/>
          <w:w w:val="150"/>
          <w:sz w:val="24"/>
        </w:rPr>
        <w:t> </w:t>
      </w:r>
      <w:r>
        <w:rPr>
          <w:sz w:val="24"/>
        </w:rPr>
        <w:t>que</w:t>
      </w:r>
      <w:r>
        <w:rPr>
          <w:spacing w:val="79"/>
          <w:sz w:val="24"/>
        </w:rPr>
        <w:t> </w:t>
      </w:r>
      <w:r>
        <w:rPr>
          <w:spacing w:val="-2"/>
          <w:sz w:val="24"/>
        </w:rPr>
        <w:t>habían</w:t>
      </w:r>
    </w:p>
    <w:p>
      <w:pPr>
        <w:pStyle w:val="ListParagraph"/>
        <w:spacing w:after="0" w:line="360" w:lineRule="auto"/>
        <w:jc w:val="both"/>
        <w:rPr>
          <w:sz w:val="24"/>
        </w:rPr>
        <w:sectPr>
          <w:pgSz w:w="12240" w:h="15840"/>
          <w:pgMar w:header="294" w:footer="961" w:top="1780" w:bottom="1160" w:left="1440" w:right="1440"/>
        </w:sectPr>
      </w:pPr>
    </w:p>
    <w:p>
      <w:pPr>
        <w:pStyle w:val="BodyText"/>
        <w:spacing w:line="360" w:lineRule="auto" w:before="80"/>
        <w:ind w:right="263"/>
        <w:jc w:val="both"/>
      </w:pPr>
      <w:r>
        <w:rPr/>
        <w:t>cumplido con la intimación cautelar; y iv) la resolución constituía una medida autosatisfactiva, siendo nula por violar el derecho de defensa.</w:t>
      </w:r>
    </w:p>
    <w:p>
      <w:pPr>
        <w:pStyle w:val="ListParagraph"/>
        <w:numPr>
          <w:ilvl w:val="0"/>
          <w:numId w:val="1"/>
        </w:numPr>
        <w:tabs>
          <w:tab w:pos="1403" w:val="left" w:leader="none"/>
        </w:tabs>
        <w:spacing w:line="360" w:lineRule="auto" w:before="0" w:after="0"/>
        <w:ind w:left="262" w:right="261" w:firstLine="707"/>
        <w:jc w:val="both"/>
        <w:rPr>
          <w:sz w:val="24"/>
        </w:rPr>
      </w:pPr>
      <w:r>
        <w:rPr>
          <w:sz w:val="24"/>
        </w:rPr>
        <w:t>Luego tomaron intervención el Ministerio Público Tutelar y Fiscal ante la Cámara (actuaciones N° 1352468/2024, 1704947/2024 y 1764595/2024, respectivamente) y, finalmente, se elevaron los autos al acuerdo de sala.</w:t>
      </w:r>
    </w:p>
    <w:p>
      <w:pPr>
        <w:pStyle w:val="BodyText"/>
        <w:spacing w:before="135"/>
        <w:ind w:left="0"/>
      </w:pPr>
    </w:p>
    <w:p>
      <w:pPr>
        <w:pStyle w:val="ListParagraph"/>
        <w:numPr>
          <w:ilvl w:val="0"/>
          <w:numId w:val="1"/>
        </w:numPr>
        <w:tabs>
          <w:tab w:pos="1262" w:val="left" w:leader="none"/>
        </w:tabs>
        <w:spacing w:line="360" w:lineRule="auto" w:before="0" w:after="0"/>
        <w:ind w:left="262" w:right="257" w:firstLine="707"/>
        <w:jc w:val="both"/>
        <w:rPr>
          <w:sz w:val="24"/>
        </w:rPr>
      </w:pPr>
      <w:r>
        <w:rPr>
          <w:sz w:val="24"/>
        </w:rPr>
        <w:t>A</w:t>
      </w:r>
      <w:r>
        <w:rPr>
          <w:spacing w:val="-4"/>
          <w:sz w:val="24"/>
        </w:rPr>
        <w:t> </w:t>
      </w:r>
      <w:r>
        <w:rPr>
          <w:sz w:val="24"/>
        </w:rPr>
        <w:t>fin</w:t>
      </w:r>
      <w:r>
        <w:rPr>
          <w:spacing w:val="-3"/>
          <w:sz w:val="24"/>
        </w:rPr>
        <w:t> </w:t>
      </w:r>
      <w:r>
        <w:rPr>
          <w:sz w:val="24"/>
        </w:rPr>
        <w:t>de</w:t>
      </w:r>
      <w:r>
        <w:rPr>
          <w:spacing w:val="-2"/>
          <w:sz w:val="24"/>
        </w:rPr>
        <w:t> </w:t>
      </w:r>
      <w:r>
        <w:rPr>
          <w:sz w:val="24"/>
        </w:rPr>
        <w:t>resolver</w:t>
      </w:r>
      <w:r>
        <w:rPr>
          <w:spacing w:val="-3"/>
          <w:sz w:val="24"/>
        </w:rPr>
        <w:t> </w:t>
      </w:r>
      <w:r>
        <w:rPr>
          <w:sz w:val="24"/>
        </w:rPr>
        <w:t>el</w:t>
      </w:r>
      <w:r>
        <w:rPr>
          <w:spacing w:val="-3"/>
          <w:sz w:val="24"/>
        </w:rPr>
        <w:t> </w:t>
      </w:r>
      <w:r>
        <w:rPr>
          <w:sz w:val="24"/>
        </w:rPr>
        <w:t>presente</w:t>
      </w:r>
      <w:r>
        <w:rPr>
          <w:spacing w:val="-3"/>
          <w:sz w:val="24"/>
        </w:rPr>
        <w:t> </w:t>
      </w:r>
      <w:r>
        <w:rPr>
          <w:sz w:val="24"/>
        </w:rPr>
        <w:t>caso,</w:t>
      </w:r>
      <w:r>
        <w:rPr>
          <w:spacing w:val="-3"/>
          <w:sz w:val="24"/>
        </w:rPr>
        <w:t> </w:t>
      </w:r>
      <w:r>
        <w:rPr>
          <w:sz w:val="24"/>
        </w:rPr>
        <w:t>vale</w:t>
      </w:r>
      <w:r>
        <w:rPr>
          <w:spacing w:val="-2"/>
          <w:sz w:val="24"/>
        </w:rPr>
        <w:t> </w:t>
      </w:r>
      <w:r>
        <w:rPr>
          <w:sz w:val="24"/>
        </w:rPr>
        <w:t>recordar</w:t>
      </w:r>
      <w:r>
        <w:rPr>
          <w:spacing w:val="-3"/>
          <w:sz w:val="24"/>
        </w:rPr>
        <w:t> </w:t>
      </w:r>
      <w:r>
        <w:rPr>
          <w:sz w:val="24"/>
        </w:rPr>
        <w:t>que</w:t>
      </w:r>
      <w:r>
        <w:rPr>
          <w:spacing w:val="-5"/>
          <w:sz w:val="24"/>
        </w:rPr>
        <w:t> </w:t>
      </w:r>
      <w:r>
        <w:rPr>
          <w:sz w:val="24"/>
        </w:rPr>
        <w:t>los</w:t>
      </w:r>
      <w:r>
        <w:rPr>
          <w:spacing w:val="-3"/>
          <w:sz w:val="24"/>
        </w:rPr>
        <w:t> </w:t>
      </w:r>
      <w:r>
        <w:rPr>
          <w:sz w:val="24"/>
        </w:rPr>
        <w:t>jueces</w:t>
      </w:r>
      <w:r>
        <w:rPr>
          <w:spacing w:val="-3"/>
          <w:sz w:val="24"/>
        </w:rPr>
        <w:t> </w:t>
      </w:r>
      <w:r>
        <w:rPr>
          <w:sz w:val="24"/>
        </w:rPr>
        <w:t>no</w:t>
      </w:r>
      <w:r>
        <w:rPr>
          <w:spacing w:val="-1"/>
          <w:sz w:val="24"/>
        </w:rPr>
        <w:t> </w:t>
      </w:r>
      <w:r>
        <w:rPr>
          <w:sz w:val="24"/>
        </w:rPr>
        <w:t>están</w:t>
      </w:r>
      <w:r>
        <w:rPr>
          <w:spacing w:val="-2"/>
          <w:sz w:val="24"/>
        </w:rPr>
        <w:t> </w:t>
      </w:r>
      <w:r>
        <w:rPr>
          <w:sz w:val="24"/>
        </w:rPr>
        <w:t>obligados a pronunciarse sobre todos los argumentos esgrimidos por las partes, ni a hacer referencia a la totalidad de las pruebas producidas, bastando que valoren solo las que sean conducentes para la correcta composición del litigio (cf. arts. 28, Ley N° 2145, 312, CCAyT, t.c. y doctrina de la CSJN, “Schoklender, Sergio Mauricio y otro s/ homicidio”, S. 634. XX., sentencia del 24 de marzo de 1988, Fallos: 311:340; entre otros, vgr. ver Fallos: 248:385; 272:225; 297:333; 300:1193, 302:235). En otras palabras, se han de considerar los hechos jurídicamente relevantes para dirimir la presente contienda (cf. Sala I: “G. Á. P. y Otros contra GCBA sobre Empleo Público (Excepto Cesantía O Exoneraciones)”, Expte. nº: 12356/2016-0, actuación nº: 2276725/2021, sentencia del 27/10/2021, entre muchos otros).</w:t>
      </w:r>
    </w:p>
    <w:p>
      <w:pPr>
        <w:pStyle w:val="BodyText"/>
        <w:spacing w:before="141"/>
        <w:ind w:left="0"/>
      </w:pPr>
    </w:p>
    <w:p>
      <w:pPr>
        <w:pStyle w:val="ListParagraph"/>
        <w:numPr>
          <w:ilvl w:val="0"/>
          <w:numId w:val="1"/>
        </w:numPr>
        <w:tabs>
          <w:tab w:pos="1360" w:val="left" w:leader="none"/>
        </w:tabs>
        <w:spacing w:line="360" w:lineRule="auto" w:before="0" w:after="0"/>
        <w:ind w:left="262" w:right="262" w:firstLine="707"/>
        <w:jc w:val="both"/>
        <w:rPr>
          <w:sz w:val="24"/>
        </w:rPr>
      </w:pPr>
      <w:r>
        <w:rPr>
          <w:sz w:val="24"/>
        </w:rPr>
        <w:t>En primer término, cabe recordar que con respecto a las medidas cautelares la doctrina, la jurisprudencia y la legislación tradicionalmente han exigido como recaudos de admisibilidad la verosimilitud del derecho, el peligro en la demora y la no afectación del interés público, sin perjuicio de la complementaria fijación de una contracautela. Estos recaudos coinciden con los que actualmente prevé la Ley Nº 2145 (artículo 16, </w:t>
      </w:r>
      <w:r>
        <w:rPr>
          <w:sz w:val="24"/>
        </w:rPr>
        <w:t>texto consolidado). En lo que respecta al primero de los requisitos, corresponde señalar que el dictado de las providencias precautorias no exige un examen de certeza sobre la existencia del derecho pretendido; aun más, el juicio de verdad en esta materia se encuentra en oposición a la finalidad del instituto, que supone atender a aquello que no excede el marco de</w:t>
      </w:r>
      <w:r>
        <w:rPr>
          <w:spacing w:val="-4"/>
          <w:sz w:val="24"/>
        </w:rPr>
        <w:t> </w:t>
      </w:r>
      <w:r>
        <w:rPr>
          <w:sz w:val="24"/>
        </w:rPr>
        <w:t>lo</w:t>
      </w:r>
      <w:r>
        <w:rPr>
          <w:spacing w:val="-3"/>
          <w:sz w:val="24"/>
        </w:rPr>
        <w:t> </w:t>
      </w:r>
      <w:r>
        <w:rPr>
          <w:sz w:val="24"/>
        </w:rPr>
        <w:t>hipotético,</w:t>
      </w:r>
      <w:r>
        <w:rPr>
          <w:spacing w:val="-3"/>
          <w:sz w:val="24"/>
        </w:rPr>
        <w:t> </w:t>
      </w:r>
      <w:r>
        <w:rPr>
          <w:sz w:val="24"/>
        </w:rPr>
        <w:t>dentro</w:t>
      </w:r>
      <w:r>
        <w:rPr>
          <w:spacing w:val="-2"/>
          <w:sz w:val="24"/>
        </w:rPr>
        <w:t> </w:t>
      </w:r>
      <w:r>
        <w:rPr>
          <w:sz w:val="24"/>
        </w:rPr>
        <w:t>del</w:t>
      </w:r>
      <w:r>
        <w:rPr>
          <w:spacing w:val="-3"/>
          <w:sz w:val="24"/>
        </w:rPr>
        <w:t> </w:t>
      </w:r>
      <w:r>
        <w:rPr>
          <w:sz w:val="24"/>
        </w:rPr>
        <w:t>cual</w:t>
      </w:r>
      <w:r>
        <w:rPr>
          <w:spacing w:val="-2"/>
          <w:sz w:val="24"/>
        </w:rPr>
        <w:t> </w:t>
      </w:r>
      <w:r>
        <w:rPr>
          <w:sz w:val="24"/>
        </w:rPr>
        <w:t>agota</w:t>
      </w:r>
      <w:r>
        <w:rPr>
          <w:spacing w:val="-3"/>
          <w:sz w:val="24"/>
        </w:rPr>
        <w:t> </w:t>
      </w:r>
      <w:r>
        <w:rPr>
          <w:sz w:val="24"/>
        </w:rPr>
        <w:t>su</w:t>
      </w:r>
      <w:r>
        <w:rPr>
          <w:spacing w:val="-3"/>
          <w:sz w:val="24"/>
        </w:rPr>
        <w:t> </w:t>
      </w:r>
      <w:r>
        <w:rPr>
          <w:sz w:val="24"/>
        </w:rPr>
        <w:t>virtualidad</w:t>
      </w:r>
      <w:r>
        <w:rPr>
          <w:spacing w:val="-3"/>
          <w:sz w:val="24"/>
        </w:rPr>
        <w:t> </w:t>
      </w:r>
      <w:r>
        <w:rPr>
          <w:sz w:val="24"/>
        </w:rPr>
        <w:t>(“Albornoz,</w:t>
      </w:r>
      <w:r>
        <w:rPr>
          <w:spacing w:val="-3"/>
          <w:sz w:val="24"/>
        </w:rPr>
        <w:t> </w:t>
      </w:r>
      <w:r>
        <w:rPr>
          <w:sz w:val="24"/>
        </w:rPr>
        <w:t>Evaristo</w:t>
      </w:r>
      <w:r>
        <w:rPr>
          <w:spacing w:val="-2"/>
          <w:sz w:val="24"/>
        </w:rPr>
        <w:t> </w:t>
      </w:r>
      <w:r>
        <w:rPr>
          <w:sz w:val="24"/>
        </w:rPr>
        <w:t>Ignacio</w:t>
      </w:r>
      <w:r>
        <w:rPr>
          <w:spacing w:val="-3"/>
          <w:sz w:val="24"/>
        </w:rPr>
        <w:t> </w:t>
      </w:r>
      <w:r>
        <w:rPr>
          <w:sz w:val="24"/>
        </w:rPr>
        <w:t>c/</w:t>
      </w:r>
      <w:r>
        <w:rPr>
          <w:spacing w:val="-3"/>
          <w:sz w:val="24"/>
        </w:rPr>
        <w:t> </w:t>
      </w:r>
      <w:r>
        <w:rPr>
          <w:sz w:val="24"/>
        </w:rPr>
        <w:t>Nación Argentina”, sentencia del 20 de diciembre de 1984, Fallos: 306:2060, entre otros precedentes). En efecto, la verosimilitud del derecho sólo requiere la comprobación de la apariencia</w:t>
      </w:r>
      <w:r>
        <w:rPr>
          <w:spacing w:val="9"/>
          <w:sz w:val="24"/>
        </w:rPr>
        <w:t> </w:t>
      </w:r>
      <w:r>
        <w:rPr>
          <w:sz w:val="24"/>
        </w:rPr>
        <w:t>del</w:t>
      </w:r>
      <w:r>
        <w:rPr>
          <w:spacing w:val="13"/>
          <w:sz w:val="24"/>
        </w:rPr>
        <w:t> </w:t>
      </w:r>
      <w:r>
        <w:rPr>
          <w:sz w:val="24"/>
        </w:rPr>
        <w:t>derecho</w:t>
      </w:r>
      <w:r>
        <w:rPr>
          <w:spacing w:val="12"/>
          <w:sz w:val="24"/>
        </w:rPr>
        <w:t> </w:t>
      </w:r>
      <w:r>
        <w:rPr>
          <w:sz w:val="24"/>
        </w:rPr>
        <w:t>invocado</w:t>
      </w:r>
      <w:r>
        <w:rPr>
          <w:spacing w:val="13"/>
          <w:sz w:val="24"/>
        </w:rPr>
        <w:t> </w:t>
      </w:r>
      <w:r>
        <w:rPr>
          <w:sz w:val="24"/>
        </w:rPr>
        <w:t>por</w:t>
      </w:r>
      <w:r>
        <w:rPr>
          <w:spacing w:val="11"/>
          <w:sz w:val="24"/>
        </w:rPr>
        <w:t> </w:t>
      </w:r>
      <w:r>
        <w:rPr>
          <w:sz w:val="24"/>
        </w:rPr>
        <w:t>el</w:t>
      </w:r>
      <w:r>
        <w:rPr>
          <w:spacing w:val="13"/>
          <w:sz w:val="24"/>
        </w:rPr>
        <w:t> </w:t>
      </w:r>
      <w:r>
        <w:rPr>
          <w:sz w:val="24"/>
        </w:rPr>
        <w:t>actor</w:t>
      </w:r>
      <w:r>
        <w:rPr>
          <w:spacing w:val="12"/>
          <w:sz w:val="24"/>
        </w:rPr>
        <w:t> </w:t>
      </w:r>
      <w:r>
        <w:rPr>
          <w:sz w:val="24"/>
        </w:rPr>
        <w:t>(esta</w:t>
      </w:r>
      <w:r>
        <w:rPr>
          <w:spacing w:val="14"/>
          <w:sz w:val="24"/>
        </w:rPr>
        <w:t> </w:t>
      </w:r>
      <w:r>
        <w:rPr>
          <w:sz w:val="24"/>
        </w:rPr>
        <w:t>Sala,</w:t>
      </w:r>
      <w:r>
        <w:rPr>
          <w:spacing w:val="12"/>
          <w:sz w:val="24"/>
        </w:rPr>
        <w:t> </w:t>
      </w:r>
      <w:r>
        <w:rPr>
          <w:sz w:val="24"/>
        </w:rPr>
        <w:t>in</w:t>
      </w:r>
      <w:r>
        <w:rPr>
          <w:spacing w:val="12"/>
          <w:sz w:val="24"/>
        </w:rPr>
        <w:t> </w:t>
      </w:r>
      <w:r>
        <w:rPr>
          <w:sz w:val="24"/>
        </w:rPr>
        <w:t>re</w:t>
      </w:r>
      <w:r>
        <w:rPr>
          <w:spacing w:val="11"/>
          <w:sz w:val="24"/>
        </w:rPr>
        <w:t> </w:t>
      </w:r>
      <w:r>
        <w:rPr>
          <w:sz w:val="24"/>
        </w:rPr>
        <w:t>“García</w:t>
      </w:r>
      <w:r>
        <w:rPr>
          <w:spacing w:val="11"/>
          <w:sz w:val="24"/>
        </w:rPr>
        <w:t> </w:t>
      </w:r>
      <w:r>
        <w:rPr>
          <w:sz w:val="24"/>
        </w:rPr>
        <w:t>Mira,</w:t>
      </w:r>
      <w:r>
        <w:rPr>
          <w:spacing w:val="13"/>
          <w:sz w:val="24"/>
        </w:rPr>
        <w:t> </w:t>
      </w:r>
      <w:r>
        <w:rPr>
          <w:sz w:val="24"/>
        </w:rPr>
        <w:t>José</w:t>
      </w:r>
      <w:r>
        <w:rPr>
          <w:spacing w:val="12"/>
          <w:sz w:val="24"/>
        </w:rPr>
        <w:t> </w:t>
      </w:r>
      <w:r>
        <w:rPr>
          <w:spacing w:val="-2"/>
          <w:sz w:val="24"/>
        </w:rPr>
        <w:t>Francisco</w:t>
      </w:r>
    </w:p>
    <w:p>
      <w:pPr>
        <w:pStyle w:val="ListParagraph"/>
        <w:spacing w:after="0" w:line="360" w:lineRule="auto"/>
        <w:jc w:val="both"/>
        <w:rPr>
          <w:sz w:val="24"/>
        </w:rPr>
        <w:sectPr>
          <w:pgSz w:w="12240" w:h="15840"/>
          <w:pgMar w:header="294" w:footer="961" w:top="1780" w:bottom="1160" w:left="1440" w:right="1440"/>
        </w:sectPr>
      </w:pPr>
    </w:p>
    <w:p>
      <w:pPr>
        <w:pStyle w:val="BodyText"/>
        <w:spacing w:line="360" w:lineRule="auto" w:before="80"/>
        <w:ind w:right="257"/>
        <w:jc w:val="both"/>
      </w:pPr>
      <w:r>
        <w:rPr/>
        <w:t>c/ Consejo de la Magistratura s/ impugnación de actos administrativos”, expediente N° 8569/0, pronunciamiento del 3 de marzo de 2004). El peligro en la demora, por su parte, exige una apreciación atenta de la realidad comprometida, con el objeto de establecer cabalmente si las secuelas que pudieran llegar a producir los hechos que se pretenden</w:t>
      </w:r>
      <w:r>
        <w:rPr>
          <w:spacing w:val="40"/>
        </w:rPr>
        <w:t> </w:t>
      </w:r>
      <w:r>
        <w:rPr/>
        <w:t>evitar,</w:t>
      </w:r>
      <w:r>
        <w:rPr>
          <w:spacing w:val="-1"/>
        </w:rPr>
        <w:t> </w:t>
      </w:r>
      <w:r>
        <w:rPr/>
        <w:t>pueden restar eficacia al ulterior reconocimiento del derecho en juego, originado por la sentencia dictada como acto final y extintivo del proceso (“Milano, Daniel Roque c/ Estado Nacional (Mrio. de Trabajo y Seguridad Social de la Nación) y otro”, Fallos: 319:1277, sentencia del 11/07/1996). Estos requisitos se encuentran de tal modo relacionados que, a mayor verosimilitud del derecho, es menor la exigencia del peligro del daño, e inversamente cuando existe el riesgo de un daño extremo e irreparable el rigor del fumus se debe atemperar (esta Sala, in re "Ticketek Argentina SA c/ GCBA", expediente</w:t>
      </w:r>
      <w:r>
        <w:rPr>
          <w:spacing w:val="40"/>
        </w:rPr>
        <w:t> </w:t>
      </w:r>
      <w:r>
        <w:rPr/>
        <w:t>N° 1075, resolución del 17 de julio de 2001 y Sala II, in re "Tecno Sudamericana SA c/ GCBA s/ impugnación de actos administrativos", expediente N° 322/0, del 23 de mayo de2001, entre muchos otros precedentes). Es pertinente destacar, por otra parte, que las medidas cautelares no causan estado. Por el contrario, éstas pueden cesar, ser sustituidas</w:t>
      </w:r>
      <w:r>
        <w:rPr>
          <w:spacing w:val="40"/>
        </w:rPr>
        <w:t> </w:t>
      </w:r>
      <w:r>
        <w:rPr/>
        <w:t>por otras más prácticas y menos gravosas, ampliadas o disminuidas. Es decir, tienen carácter provisional (cfr. Fenochietto, Carlos E., Código Procesal Civil y Comercial de la Nación. Comentado, anotado y concordado con los códigos provinciales, Editorial Astrea, 1999, T. 1, página 700). De allí que la firmeza de la resolución que concede una medida cautelar no impide examinar su eventual prolongación, modificación o extinción a pedido de parte.</w:t>
      </w:r>
    </w:p>
    <w:p>
      <w:pPr>
        <w:pStyle w:val="BodyText"/>
        <w:spacing w:before="137"/>
        <w:ind w:left="0"/>
      </w:pPr>
    </w:p>
    <w:p>
      <w:pPr>
        <w:pStyle w:val="ListParagraph"/>
        <w:numPr>
          <w:ilvl w:val="0"/>
          <w:numId w:val="1"/>
        </w:numPr>
        <w:tabs>
          <w:tab w:pos="1505" w:val="left" w:leader="none"/>
        </w:tabs>
        <w:spacing w:line="360" w:lineRule="auto" w:before="0" w:after="0"/>
        <w:ind w:left="262" w:right="255" w:firstLine="707"/>
        <w:jc w:val="both"/>
        <w:rPr>
          <w:sz w:val="24"/>
        </w:rPr>
      </w:pPr>
      <w:r>
        <w:rPr>
          <w:sz w:val="24"/>
        </w:rPr>
        <w:t>Por otro lado, vale indicar que la doctrina ha señalado que: que “[...] ‘memorial’ se denomina al escrito de fundamentación de la apelación concedida en</w:t>
      </w:r>
      <w:r>
        <w:rPr>
          <w:spacing w:val="40"/>
          <w:sz w:val="24"/>
        </w:rPr>
        <w:t> </w:t>
      </w:r>
      <w:r>
        <w:rPr>
          <w:sz w:val="24"/>
        </w:rPr>
        <w:t>relación, debiendo interpretárselo como sinónimo de ´expresión de agravios´, en lo que atañe a su naturaleza y requisitos legales. Como tal constituye una verdadera ´demanda de impugnación´, que fija los límites de los agravios y el respectivo conocimiento del recurso por el Tribunal, debiendo contener la crítica concreta y razonada de las partes del fallo que el apelante considere equivocadas” (Fenochietto, Carlos E., Código Procesal Civil y Comercial</w:t>
      </w:r>
      <w:r>
        <w:rPr>
          <w:spacing w:val="49"/>
          <w:sz w:val="24"/>
        </w:rPr>
        <w:t> </w:t>
      </w:r>
      <w:r>
        <w:rPr>
          <w:sz w:val="24"/>
        </w:rPr>
        <w:t>de</w:t>
      </w:r>
      <w:r>
        <w:rPr>
          <w:spacing w:val="50"/>
          <w:sz w:val="24"/>
        </w:rPr>
        <w:t> </w:t>
      </w:r>
      <w:r>
        <w:rPr>
          <w:sz w:val="24"/>
        </w:rPr>
        <w:t>la</w:t>
      </w:r>
      <w:r>
        <w:rPr>
          <w:spacing w:val="50"/>
          <w:sz w:val="24"/>
        </w:rPr>
        <w:t> </w:t>
      </w:r>
      <w:r>
        <w:rPr>
          <w:sz w:val="24"/>
        </w:rPr>
        <w:t>Nación,</w:t>
      </w:r>
      <w:r>
        <w:rPr>
          <w:spacing w:val="51"/>
          <w:sz w:val="24"/>
        </w:rPr>
        <w:t> </w:t>
      </w:r>
      <w:r>
        <w:rPr>
          <w:sz w:val="24"/>
        </w:rPr>
        <w:t>comentado,</w:t>
      </w:r>
      <w:r>
        <w:rPr>
          <w:spacing w:val="53"/>
          <w:sz w:val="24"/>
        </w:rPr>
        <w:t> </w:t>
      </w:r>
      <w:r>
        <w:rPr>
          <w:sz w:val="24"/>
        </w:rPr>
        <w:t>anotado</w:t>
      </w:r>
      <w:r>
        <w:rPr>
          <w:spacing w:val="56"/>
          <w:sz w:val="24"/>
        </w:rPr>
        <w:t> </w:t>
      </w:r>
      <w:r>
        <w:rPr>
          <w:sz w:val="24"/>
        </w:rPr>
        <w:t>y</w:t>
      </w:r>
      <w:r>
        <w:rPr>
          <w:spacing w:val="49"/>
          <w:sz w:val="24"/>
        </w:rPr>
        <w:t> </w:t>
      </w:r>
      <w:r>
        <w:rPr>
          <w:sz w:val="24"/>
        </w:rPr>
        <w:t>concordado,</w:t>
      </w:r>
      <w:r>
        <w:rPr>
          <w:spacing w:val="51"/>
          <w:sz w:val="24"/>
        </w:rPr>
        <w:t> </w:t>
      </w:r>
      <w:r>
        <w:rPr>
          <w:sz w:val="24"/>
        </w:rPr>
        <w:t>T.</w:t>
      </w:r>
      <w:r>
        <w:rPr>
          <w:spacing w:val="56"/>
          <w:sz w:val="24"/>
        </w:rPr>
        <w:t> </w:t>
      </w:r>
      <w:r>
        <w:rPr>
          <w:sz w:val="24"/>
        </w:rPr>
        <w:t>II,</w:t>
      </w:r>
      <w:r>
        <w:rPr>
          <w:spacing w:val="53"/>
          <w:sz w:val="24"/>
        </w:rPr>
        <w:t> </w:t>
      </w:r>
      <w:r>
        <w:rPr>
          <w:sz w:val="24"/>
        </w:rPr>
        <w:t>año</w:t>
      </w:r>
      <w:r>
        <w:rPr>
          <w:spacing w:val="53"/>
          <w:sz w:val="24"/>
        </w:rPr>
        <w:t> </w:t>
      </w:r>
      <w:r>
        <w:rPr>
          <w:sz w:val="24"/>
        </w:rPr>
        <w:t>1999,</w:t>
      </w:r>
      <w:r>
        <w:rPr>
          <w:spacing w:val="52"/>
          <w:sz w:val="24"/>
        </w:rPr>
        <w:t> </w:t>
      </w:r>
      <w:r>
        <w:rPr>
          <w:spacing w:val="-2"/>
          <w:sz w:val="24"/>
        </w:rPr>
        <w:t>Editorial</w:t>
      </w:r>
    </w:p>
    <w:p>
      <w:pPr>
        <w:pStyle w:val="ListParagraph"/>
        <w:spacing w:after="0" w:line="360" w:lineRule="auto"/>
        <w:jc w:val="both"/>
        <w:rPr>
          <w:sz w:val="24"/>
        </w:rPr>
        <w:sectPr>
          <w:pgSz w:w="12240" w:h="15840"/>
          <w:pgMar w:header="294" w:footer="961" w:top="1780" w:bottom="1160" w:left="1440" w:right="1440"/>
        </w:sectPr>
      </w:pPr>
    </w:p>
    <w:p>
      <w:pPr>
        <w:pStyle w:val="BodyText"/>
        <w:spacing w:line="360" w:lineRule="auto" w:before="80"/>
        <w:ind w:right="261"/>
        <w:jc w:val="both"/>
      </w:pPr>
      <w:r>
        <w:rPr/>
        <w:t>Astrea, pág. 35). Asimismo, ha dicho que “[e]l contenido u objeto de la impugnación lo constituye la crítica precisa de cuáles son los errores que contiene la resolución, sea en la apreciación de los hechos o en la aplicación del derecho. Crítica razonada, que no se sustituye con una mera discrepancia, sino que implica el estudio de los considerandos del juzgador, demostrando a la Cámara las equivocadas deducciones, inducciones, conjeturas u omisiones sobre las distintas cuestiones resueltas. [...] La parte del fallo no impugnado o criticado insuficientemente, como sanción al recurrente, quedará consentida, pues reiteramos, la demanda de impugnación viene a determinar los agravios y capítulos que se someten a la Cámara [...]” (ob. cit., pág 98/99).</w:t>
      </w:r>
    </w:p>
    <w:p>
      <w:pPr>
        <w:pStyle w:val="BodyText"/>
        <w:spacing w:before="136"/>
        <w:ind w:left="0"/>
      </w:pPr>
    </w:p>
    <w:p>
      <w:pPr>
        <w:pStyle w:val="ListParagraph"/>
        <w:numPr>
          <w:ilvl w:val="0"/>
          <w:numId w:val="1"/>
        </w:numPr>
        <w:tabs>
          <w:tab w:pos="1607" w:val="left" w:leader="none"/>
        </w:tabs>
        <w:spacing w:line="360" w:lineRule="auto" w:before="0" w:after="0"/>
        <w:ind w:left="262" w:right="258" w:firstLine="707"/>
        <w:jc w:val="both"/>
        <w:rPr>
          <w:sz w:val="24"/>
        </w:rPr>
      </w:pPr>
      <w:r>
        <w:rPr>
          <w:sz w:val="24"/>
        </w:rPr>
        <w:t>Sentado lo anterior, se observa que el memorial presentado por las codemandadas no constituye una crítica concreta y razonada de la resolución recurrida. Las apelantes no han desarrollado argumentos válidos que demuestren el error de juicio que atribuyó al pronunciamiento recurrido. En lo aquí en pugna, al resolver, el juez de la anterior instancia realizó un pormenorizado detalle de las circunstancias fácticas, como así también,</w:t>
      </w:r>
      <w:r>
        <w:rPr>
          <w:spacing w:val="-2"/>
          <w:sz w:val="24"/>
        </w:rPr>
        <w:t> </w:t>
      </w:r>
      <w:r>
        <w:rPr>
          <w:sz w:val="24"/>
        </w:rPr>
        <w:t>una</w:t>
      </w:r>
      <w:r>
        <w:rPr>
          <w:spacing w:val="-2"/>
          <w:sz w:val="24"/>
        </w:rPr>
        <w:t> </w:t>
      </w:r>
      <w:r>
        <w:rPr>
          <w:sz w:val="24"/>
        </w:rPr>
        <w:t>reseña</w:t>
      </w:r>
      <w:r>
        <w:rPr>
          <w:spacing w:val="-2"/>
          <w:sz w:val="24"/>
        </w:rPr>
        <w:t> </w:t>
      </w:r>
      <w:r>
        <w:rPr>
          <w:sz w:val="24"/>
        </w:rPr>
        <w:t>del</w:t>
      </w:r>
      <w:r>
        <w:rPr>
          <w:spacing w:val="-1"/>
          <w:sz w:val="24"/>
        </w:rPr>
        <w:t> </w:t>
      </w:r>
      <w:r>
        <w:rPr>
          <w:sz w:val="24"/>
        </w:rPr>
        <w:t>bloque</w:t>
      </w:r>
      <w:r>
        <w:rPr>
          <w:spacing w:val="-2"/>
          <w:sz w:val="24"/>
        </w:rPr>
        <w:t> </w:t>
      </w:r>
      <w:r>
        <w:rPr>
          <w:sz w:val="24"/>
        </w:rPr>
        <w:t>de</w:t>
      </w:r>
      <w:r>
        <w:rPr>
          <w:spacing w:val="-2"/>
          <w:sz w:val="24"/>
        </w:rPr>
        <w:t> </w:t>
      </w:r>
      <w:r>
        <w:rPr>
          <w:sz w:val="24"/>
        </w:rPr>
        <w:t>constitucionalidad y</w:t>
      </w:r>
      <w:r>
        <w:rPr>
          <w:spacing w:val="-6"/>
          <w:sz w:val="24"/>
        </w:rPr>
        <w:t> </w:t>
      </w:r>
      <w:r>
        <w:rPr>
          <w:sz w:val="24"/>
        </w:rPr>
        <w:t>convencionalidad</w:t>
      </w:r>
      <w:r>
        <w:rPr>
          <w:spacing w:val="-2"/>
          <w:sz w:val="24"/>
        </w:rPr>
        <w:t> </w:t>
      </w:r>
      <w:r>
        <w:rPr>
          <w:sz w:val="24"/>
        </w:rPr>
        <w:t>sobre</w:t>
      </w:r>
      <w:r>
        <w:rPr>
          <w:spacing w:val="-2"/>
          <w:sz w:val="24"/>
        </w:rPr>
        <w:t> </w:t>
      </w:r>
      <w:r>
        <w:rPr>
          <w:sz w:val="24"/>
        </w:rPr>
        <w:t>el</w:t>
      </w:r>
      <w:r>
        <w:rPr>
          <w:spacing w:val="-1"/>
          <w:sz w:val="24"/>
        </w:rPr>
        <w:t> </w:t>
      </w:r>
      <w:r>
        <w:rPr>
          <w:sz w:val="24"/>
        </w:rPr>
        <w:t>derecho</w:t>
      </w:r>
      <w:r>
        <w:rPr>
          <w:spacing w:val="-1"/>
          <w:sz w:val="24"/>
        </w:rPr>
        <w:t> </w:t>
      </w:r>
      <w:r>
        <w:rPr>
          <w:sz w:val="24"/>
        </w:rPr>
        <w:t>a la salud. Además, evaluó el marco normativo de la FACOEP y del Programa Federal</w:t>
      </w:r>
      <w:r>
        <w:rPr>
          <w:spacing w:val="40"/>
          <w:sz w:val="24"/>
        </w:rPr>
        <w:t> </w:t>
      </w:r>
      <w:r>
        <w:rPr>
          <w:sz w:val="24"/>
        </w:rPr>
        <w:t>Incluir Salud, a la luz de las leyes nacionales y locales que imponían a los agentes del seguro de salud, que incluyeran obligatoriamente entre sus prestaciones a todas aquellas necesarias para la rehabilitación de las personas con discapacidad, en sus distintas modalidades. Sin embargo, la</w:t>
      </w:r>
      <w:r>
        <w:rPr>
          <w:spacing w:val="-1"/>
          <w:sz w:val="24"/>
        </w:rPr>
        <w:t> </w:t>
      </w:r>
      <w:r>
        <w:rPr>
          <w:sz w:val="24"/>
        </w:rPr>
        <w:t>parte</w:t>
      </w:r>
      <w:r>
        <w:rPr>
          <w:spacing w:val="-2"/>
          <w:sz w:val="24"/>
        </w:rPr>
        <w:t> </w:t>
      </w:r>
      <w:r>
        <w:rPr>
          <w:sz w:val="24"/>
        </w:rPr>
        <w:t>recurrente se</w:t>
      </w:r>
      <w:r>
        <w:rPr>
          <w:spacing w:val="-1"/>
          <w:sz w:val="24"/>
        </w:rPr>
        <w:t> </w:t>
      </w:r>
      <w:r>
        <w:rPr>
          <w:sz w:val="24"/>
        </w:rPr>
        <w:t>limitó a</w:t>
      </w:r>
      <w:r>
        <w:rPr>
          <w:spacing w:val="-1"/>
          <w:sz w:val="24"/>
        </w:rPr>
        <w:t> </w:t>
      </w:r>
      <w:r>
        <w:rPr>
          <w:sz w:val="24"/>
        </w:rPr>
        <w:t>criticar</w:t>
      </w:r>
      <w:r>
        <w:rPr>
          <w:spacing w:val="-1"/>
          <w:sz w:val="24"/>
        </w:rPr>
        <w:t> </w:t>
      </w:r>
      <w:r>
        <w:rPr>
          <w:sz w:val="24"/>
        </w:rPr>
        <w:t>que el a</w:t>
      </w:r>
      <w:r>
        <w:rPr>
          <w:spacing w:val="-1"/>
          <w:sz w:val="24"/>
        </w:rPr>
        <w:t> </w:t>
      </w:r>
      <w:r>
        <w:rPr>
          <w:sz w:val="24"/>
        </w:rPr>
        <w:t>quo prescindió de las constancias de la causa y que, no había tenido en cuenta que el GCBA no era el legitimado pasivo de la obligación. En ese entendimiento, enfatizó que “[…] el Programa Federal Incluir Salud e[ra] un programa dependiente de la Agencia Nacional de Discapacidad en el marco del cual las prestaciones a cargo de la jurisdicción local [era]n brindadas por la red de prestadores y efectores públicos de esta Ciudad”. Estos argumentos no resultan suficientes y tampoco adecuados para contrarrestar la interpretación que hizo el magistrado de la instancia anterior respecto de las obligaciones que el GCBA tiene impuestas en virtud del bloque de convencionalidad, las normas constitucionales locales y las leyes</w:t>
      </w:r>
      <w:r>
        <w:rPr>
          <w:spacing w:val="2"/>
          <w:sz w:val="24"/>
        </w:rPr>
        <w:t> </w:t>
      </w:r>
      <w:r>
        <w:rPr>
          <w:sz w:val="24"/>
        </w:rPr>
        <w:t>reglamentarias</w:t>
      </w:r>
      <w:r>
        <w:rPr>
          <w:spacing w:val="3"/>
          <w:sz w:val="24"/>
        </w:rPr>
        <w:t> </w:t>
      </w:r>
      <w:r>
        <w:rPr>
          <w:sz w:val="24"/>
        </w:rPr>
        <w:t>descriptas</w:t>
      </w:r>
      <w:r>
        <w:rPr>
          <w:spacing w:val="2"/>
          <w:sz w:val="24"/>
        </w:rPr>
        <w:t> </w:t>
      </w:r>
      <w:r>
        <w:rPr>
          <w:sz w:val="24"/>
        </w:rPr>
        <w:t>en</w:t>
      </w:r>
      <w:r>
        <w:rPr>
          <w:spacing w:val="3"/>
          <w:sz w:val="24"/>
        </w:rPr>
        <w:t> </w:t>
      </w:r>
      <w:r>
        <w:rPr>
          <w:sz w:val="24"/>
        </w:rPr>
        <w:t>su</w:t>
      </w:r>
      <w:r>
        <w:rPr>
          <w:spacing w:val="2"/>
          <w:sz w:val="24"/>
        </w:rPr>
        <w:t> </w:t>
      </w:r>
      <w:r>
        <w:rPr>
          <w:sz w:val="24"/>
        </w:rPr>
        <w:t>decisorio</w:t>
      </w:r>
      <w:r>
        <w:rPr>
          <w:spacing w:val="3"/>
          <w:sz w:val="24"/>
        </w:rPr>
        <w:t> </w:t>
      </w:r>
      <w:r>
        <w:rPr>
          <w:sz w:val="24"/>
        </w:rPr>
        <w:t>apelado;</w:t>
      </w:r>
      <w:r>
        <w:rPr>
          <w:spacing w:val="2"/>
          <w:sz w:val="24"/>
        </w:rPr>
        <w:t> </w:t>
      </w:r>
      <w:r>
        <w:rPr>
          <w:sz w:val="24"/>
        </w:rPr>
        <w:t>en</w:t>
      </w:r>
      <w:r>
        <w:rPr>
          <w:spacing w:val="3"/>
          <w:sz w:val="24"/>
        </w:rPr>
        <w:t> </w:t>
      </w:r>
      <w:r>
        <w:rPr>
          <w:sz w:val="24"/>
        </w:rPr>
        <w:t>particular,</w:t>
      </w:r>
      <w:r>
        <w:rPr>
          <w:spacing w:val="1"/>
          <w:sz w:val="24"/>
        </w:rPr>
        <w:t> </w:t>
      </w:r>
      <w:r>
        <w:rPr>
          <w:sz w:val="24"/>
        </w:rPr>
        <w:t>los</w:t>
      </w:r>
      <w:r>
        <w:rPr>
          <w:spacing w:val="4"/>
          <w:sz w:val="24"/>
        </w:rPr>
        <w:t> </w:t>
      </w:r>
      <w:r>
        <w:rPr>
          <w:sz w:val="24"/>
        </w:rPr>
        <w:t>deberes</w:t>
      </w:r>
      <w:r>
        <w:rPr>
          <w:spacing w:val="2"/>
          <w:sz w:val="24"/>
        </w:rPr>
        <w:t> </w:t>
      </w:r>
      <w:r>
        <w:rPr>
          <w:sz w:val="24"/>
        </w:rPr>
        <w:t>que</w:t>
      </w:r>
      <w:r>
        <w:rPr>
          <w:spacing w:val="2"/>
          <w:sz w:val="24"/>
        </w:rPr>
        <w:t> </w:t>
      </w:r>
      <w:r>
        <w:rPr>
          <w:spacing w:val="-5"/>
          <w:sz w:val="24"/>
        </w:rPr>
        <w:t>le</w:t>
      </w:r>
    </w:p>
    <w:p>
      <w:pPr>
        <w:pStyle w:val="ListParagraph"/>
        <w:spacing w:after="0" w:line="360" w:lineRule="auto"/>
        <w:jc w:val="both"/>
        <w:rPr>
          <w:sz w:val="24"/>
        </w:rPr>
        <w:sectPr>
          <w:pgSz w:w="12240" w:h="15840"/>
          <w:pgMar w:header="294" w:footer="961" w:top="1780" w:bottom="1160" w:left="1440" w:right="1440"/>
        </w:sectPr>
      </w:pPr>
    </w:p>
    <w:p>
      <w:pPr>
        <w:pStyle w:val="BodyText"/>
        <w:spacing w:line="360" w:lineRule="auto" w:before="80"/>
        <w:ind w:right="256"/>
        <w:jc w:val="both"/>
      </w:pPr>
      <w:r>
        <w:rPr/>
        <w:t>caben respecto de las personas con discapacidad que requieren protección para evitar el agravamiento de su estado de salud y</w:t>
      </w:r>
      <w:r>
        <w:rPr>
          <w:spacing w:val="-5"/>
        </w:rPr>
        <w:t> </w:t>
      </w:r>
      <w:r>
        <w:rPr/>
        <w:t>que carecen de recursos económicos para</w:t>
      </w:r>
      <w:r>
        <w:rPr>
          <w:spacing w:val="-1"/>
        </w:rPr>
        <w:t> </w:t>
      </w:r>
      <w:r>
        <w:rPr/>
        <w:t>afrontar sus padecimientos. Sus planteos tampoco evidencian los motivos por los cuales —en el contexto normativo y fáctico de este proceso— el demandado no sería el responsable primario en asistir al demandante. No puede perderse de vista que la tutela de la salud debe encararse de forma coordinada por todos los niveles de gobierno y ninguno de ellos puede desligarse</w:t>
      </w:r>
      <w:r>
        <w:rPr>
          <w:spacing w:val="-4"/>
        </w:rPr>
        <w:t> </w:t>
      </w:r>
      <w:r>
        <w:rPr/>
        <w:t>de</w:t>
      </w:r>
      <w:r>
        <w:rPr>
          <w:spacing w:val="-3"/>
        </w:rPr>
        <w:t> </w:t>
      </w:r>
      <w:r>
        <w:rPr/>
        <w:t>las</w:t>
      </w:r>
      <w:r>
        <w:rPr>
          <w:spacing w:val="-1"/>
        </w:rPr>
        <w:t> </w:t>
      </w:r>
      <w:r>
        <w:rPr/>
        <w:t>obligaciones</w:t>
      </w:r>
      <w:r>
        <w:rPr>
          <w:spacing w:val="-2"/>
        </w:rPr>
        <w:t> </w:t>
      </w:r>
      <w:r>
        <w:rPr/>
        <w:t>asignadas</w:t>
      </w:r>
      <w:r>
        <w:rPr>
          <w:spacing w:val="-2"/>
        </w:rPr>
        <w:t> </w:t>
      </w:r>
      <w:r>
        <w:rPr/>
        <w:t>invocando</w:t>
      </w:r>
      <w:r>
        <w:rPr>
          <w:spacing w:val="-2"/>
        </w:rPr>
        <w:t> </w:t>
      </w:r>
      <w:r>
        <w:rPr/>
        <w:t>la</w:t>
      </w:r>
      <w:r>
        <w:rPr>
          <w:spacing w:val="-2"/>
        </w:rPr>
        <w:t> </w:t>
      </w:r>
      <w:r>
        <w:rPr/>
        <w:t>inacción</w:t>
      </w:r>
      <w:r>
        <w:rPr>
          <w:spacing w:val="-2"/>
        </w:rPr>
        <w:t> </w:t>
      </w:r>
      <w:r>
        <w:rPr/>
        <w:t>de</w:t>
      </w:r>
      <w:r>
        <w:rPr>
          <w:spacing w:val="-3"/>
        </w:rPr>
        <w:t> </w:t>
      </w:r>
      <w:r>
        <w:rPr/>
        <w:t>otras entidades</w:t>
      </w:r>
      <w:r>
        <w:rPr>
          <w:spacing w:val="-2"/>
        </w:rPr>
        <w:t> </w:t>
      </w:r>
      <w:r>
        <w:rPr/>
        <w:t>públicas o privadas, pues se trata de un mismo sistema sanitario y está en juego la protección de sujetos que gozan de preferente tutela constitucional. En otros términos, la protección de la salud constituye una obligación principal y solidaria que no puede verse relegada con sustento</w:t>
      </w:r>
      <w:r>
        <w:rPr>
          <w:spacing w:val="-1"/>
        </w:rPr>
        <w:t> </w:t>
      </w:r>
      <w:r>
        <w:rPr/>
        <w:t>en</w:t>
      </w:r>
      <w:r>
        <w:rPr>
          <w:spacing w:val="-1"/>
        </w:rPr>
        <w:t> </w:t>
      </w:r>
      <w:r>
        <w:rPr/>
        <w:t>la</w:t>
      </w:r>
      <w:r>
        <w:rPr>
          <w:spacing w:val="-2"/>
        </w:rPr>
        <w:t> </w:t>
      </w:r>
      <w:r>
        <w:rPr/>
        <w:t>existencia</w:t>
      </w:r>
      <w:r>
        <w:rPr>
          <w:spacing w:val="-2"/>
        </w:rPr>
        <w:t> </w:t>
      </w:r>
      <w:r>
        <w:rPr/>
        <w:t>de</w:t>
      </w:r>
      <w:r>
        <w:rPr>
          <w:spacing w:val="-2"/>
        </w:rPr>
        <w:t> </w:t>
      </w:r>
      <w:r>
        <w:rPr/>
        <w:t>un</w:t>
      </w:r>
      <w:r>
        <w:rPr>
          <w:spacing w:val="-1"/>
        </w:rPr>
        <w:t> </w:t>
      </w:r>
      <w:r>
        <w:rPr/>
        <w:t>régimen</w:t>
      </w:r>
      <w:r>
        <w:rPr>
          <w:spacing w:val="-1"/>
        </w:rPr>
        <w:t> </w:t>
      </w:r>
      <w:r>
        <w:rPr/>
        <w:t>de</w:t>
      </w:r>
      <w:r>
        <w:rPr>
          <w:spacing w:val="-2"/>
        </w:rPr>
        <w:t> </w:t>
      </w:r>
      <w:r>
        <w:rPr/>
        <w:t>distribución</w:t>
      </w:r>
      <w:r>
        <w:rPr>
          <w:spacing w:val="-1"/>
        </w:rPr>
        <w:t> </w:t>
      </w:r>
      <w:r>
        <w:rPr/>
        <w:t>de</w:t>
      </w:r>
      <w:r>
        <w:rPr>
          <w:spacing w:val="-2"/>
        </w:rPr>
        <w:t> </w:t>
      </w:r>
      <w:r>
        <w:rPr/>
        <w:t>competencias</w:t>
      </w:r>
      <w:r>
        <w:rPr>
          <w:spacing w:val="-2"/>
        </w:rPr>
        <w:t> </w:t>
      </w:r>
      <w:r>
        <w:rPr/>
        <w:t>(conforme</w:t>
      </w:r>
      <w:r>
        <w:rPr>
          <w:spacing w:val="-2"/>
        </w:rPr>
        <w:t> </w:t>
      </w:r>
      <w:r>
        <w:rPr/>
        <w:t>doctrina que emana de la CSJN, “Martín Sergio Gustavo y otros c/ Fuerza Aérea Argentina Dirección General Bienestar Pers Fuerza Aérea s/ Amparo”, M. 3226. XXXVIII. REX, sentencia</w:t>
      </w:r>
      <w:r>
        <w:rPr>
          <w:spacing w:val="-1"/>
        </w:rPr>
        <w:t> </w:t>
      </w:r>
      <w:r>
        <w:rPr/>
        <w:t>del 8 de junio de</w:t>
      </w:r>
      <w:r>
        <w:rPr>
          <w:spacing w:val="-1"/>
        </w:rPr>
        <w:t> </w:t>
      </w:r>
      <w:r>
        <w:rPr/>
        <w:t>2004, Fallos: 327:2127; esta</w:t>
      </w:r>
      <w:r>
        <w:rPr>
          <w:spacing w:val="-1"/>
        </w:rPr>
        <w:t> </w:t>
      </w:r>
      <w:r>
        <w:rPr/>
        <w:t>Sala, en autos “R., I. R. c/ GCBA y otros s/ Incidente de Apelación - Amparo – Salud - Medicamentos y Tratamientos”, expediente N° INC 73929/2018-1, actuación N° 13222950/2019, sentencia del 26 de junio de 2019). Más aún debe destacarse que “[…] la tutela del derecho a la salud, no postula de modo exclusivo una materia federal sino concurrente con el derecho público local […]” (conf. TSJ, in re: “G. C. c/GCBA y otros s/amparo –salud- medicamentos y tratamientos s/recurso</w:t>
      </w:r>
      <w:r>
        <w:rPr>
          <w:spacing w:val="14"/>
        </w:rPr>
        <w:t> </w:t>
      </w:r>
      <w:r>
        <w:rPr/>
        <w:t>de</w:t>
      </w:r>
      <w:r>
        <w:rPr>
          <w:spacing w:val="14"/>
        </w:rPr>
        <w:t> </w:t>
      </w:r>
      <w:r>
        <w:rPr/>
        <w:t>inconstitucionalidad</w:t>
      </w:r>
      <w:r>
        <w:rPr>
          <w:spacing w:val="15"/>
        </w:rPr>
        <w:t> </w:t>
      </w:r>
      <w:r>
        <w:rPr/>
        <w:t>concedido”,</w:t>
      </w:r>
      <w:r>
        <w:rPr>
          <w:spacing w:val="15"/>
        </w:rPr>
        <w:t> </w:t>
      </w:r>
      <w:r>
        <w:rPr/>
        <w:t>sentencia</w:t>
      </w:r>
      <w:r>
        <w:rPr>
          <w:spacing w:val="15"/>
        </w:rPr>
        <w:t> </w:t>
      </w:r>
      <w:r>
        <w:rPr/>
        <w:t>del</w:t>
      </w:r>
      <w:r>
        <w:rPr>
          <w:spacing w:val="16"/>
        </w:rPr>
        <w:t> </w:t>
      </w:r>
      <w:r>
        <w:rPr/>
        <w:t>24/11/2021,</w:t>
      </w:r>
      <w:r>
        <w:rPr>
          <w:spacing w:val="15"/>
        </w:rPr>
        <w:t> </w:t>
      </w:r>
      <w:r>
        <w:rPr/>
        <w:t>voto</w:t>
      </w:r>
      <w:r>
        <w:rPr>
          <w:spacing w:val="16"/>
        </w:rPr>
        <w:t> </w:t>
      </w:r>
      <w:r>
        <w:rPr/>
        <w:t>del</w:t>
      </w:r>
      <w:r>
        <w:rPr>
          <w:spacing w:val="16"/>
        </w:rPr>
        <w:t> </w:t>
      </w:r>
      <w:r>
        <w:rPr/>
        <w:t>juez</w:t>
      </w:r>
      <w:r>
        <w:rPr>
          <w:spacing w:val="16"/>
        </w:rPr>
        <w:t> </w:t>
      </w:r>
      <w:r>
        <w:rPr>
          <w:spacing w:val="-4"/>
        </w:rPr>
        <w:t>Luis</w:t>
      </w:r>
    </w:p>
    <w:p>
      <w:pPr>
        <w:pStyle w:val="BodyText"/>
        <w:spacing w:line="360" w:lineRule="auto"/>
        <w:ind w:right="259"/>
        <w:jc w:val="both"/>
      </w:pPr>
      <w:r>
        <w:rPr/>
        <w:t>F. Lozano). Asimismo, “[…] la CN ha autorizado tanto a la Nación (por delegación de las provincias) como a los estados locales (por reserva) a gestionar ciertas materias en forma concurrente entre las que se encuentra la salud” (conf. TSJ, in re: “G. C. c/GCBA y otros s/amparo –salud-medicamentos y tratamientos s/recurso de inconstitucionalidad concedido”, sentencia del 24/11/2021, voto de la jueza Alicia E. C. Ruiz). A su vez, como resaltó el Ministerio Público Fiscal, la parte demandada “[…] en la misma apelación acompañ[ó] documentación que acreditaría la autorización de la prestación de transporte requerida, y la adjudicación de la cobertura al Sindicato de Choferes Particulares, lo que prima</w:t>
      </w:r>
      <w:r>
        <w:rPr>
          <w:spacing w:val="-4"/>
        </w:rPr>
        <w:t> </w:t>
      </w:r>
      <w:r>
        <w:rPr/>
        <w:t>facie</w:t>
      </w:r>
      <w:r>
        <w:rPr>
          <w:spacing w:val="-3"/>
        </w:rPr>
        <w:t> </w:t>
      </w:r>
      <w:r>
        <w:rPr/>
        <w:t>demostraría, contrariamente</w:t>
      </w:r>
      <w:r>
        <w:rPr>
          <w:spacing w:val="-3"/>
        </w:rPr>
        <w:t> </w:t>
      </w:r>
      <w:r>
        <w:rPr/>
        <w:t>a</w:t>
      </w:r>
      <w:r>
        <w:rPr>
          <w:spacing w:val="-3"/>
        </w:rPr>
        <w:t> </w:t>
      </w:r>
      <w:r>
        <w:rPr/>
        <w:t>lo</w:t>
      </w:r>
      <w:r>
        <w:rPr>
          <w:spacing w:val="-3"/>
        </w:rPr>
        <w:t> </w:t>
      </w:r>
      <w:r>
        <w:rPr/>
        <w:t>esgrimido</w:t>
      </w:r>
      <w:r>
        <w:rPr>
          <w:spacing w:val="-3"/>
        </w:rPr>
        <w:t> </w:t>
      </w:r>
      <w:r>
        <w:rPr/>
        <w:t>por</w:t>
      </w:r>
      <w:r>
        <w:rPr>
          <w:spacing w:val="-4"/>
        </w:rPr>
        <w:t> </w:t>
      </w:r>
      <w:r>
        <w:rPr/>
        <w:t>las</w:t>
      </w:r>
      <w:r>
        <w:rPr>
          <w:spacing w:val="-3"/>
        </w:rPr>
        <w:t> </w:t>
      </w:r>
      <w:r>
        <w:rPr/>
        <w:t>demandadas,</w:t>
      </w:r>
      <w:r>
        <w:rPr>
          <w:spacing w:val="-3"/>
        </w:rPr>
        <w:t> </w:t>
      </w:r>
      <w:r>
        <w:rPr/>
        <w:t>su</w:t>
      </w:r>
      <w:r>
        <w:rPr>
          <w:spacing w:val="-3"/>
        </w:rPr>
        <w:t> </w:t>
      </w:r>
      <w:r>
        <w:rPr/>
        <w:t>competencia para</w:t>
      </w:r>
      <w:r>
        <w:rPr>
          <w:spacing w:val="-2"/>
        </w:rPr>
        <w:t> </w:t>
      </w:r>
      <w:r>
        <w:rPr/>
        <w:t>realizar</w:t>
      </w:r>
      <w:r>
        <w:rPr>
          <w:spacing w:val="-1"/>
        </w:rPr>
        <w:t> </w:t>
      </w:r>
      <w:r>
        <w:rPr/>
        <w:t>las</w:t>
      </w:r>
      <w:r>
        <w:rPr>
          <w:spacing w:val="-1"/>
        </w:rPr>
        <w:t> </w:t>
      </w:r>
      <w:r>
        <w:rPr/>
        <w:t>gestiones</w:t>
      </w:r>
      <w:r>
        <w:rPr>
          <w:spacing w:val="1"/>
        </w:rPr>
        <w:t> </w:t>
      </w:r>
      <w:r>
        <w:rPr/>
        <w:t>pertinentes</w:t>
      </w:r>
      <w:r>
        <w:rPr>
          <w:spacing w:val="-1"/>
        </w:rPr>
        <w:t> </w:t>
      </w:r>
      <w:r>
        <w:rPr/>
        <w:t>a</w:t>
      </w:r>
      <w:r>
        <w:rPr>
          <w:spacing w:val="-1"/>
        </w:rPr>
        <w:t> </w:t>
      </w:r>
      <w:r>
        <w:rPr/>
        <w:t>fin de</w:t>
      </w:r>
      <w:r>
        <w:rPr>
          <w:spacing w:val="-1"/>
        </w:rPr>
        <w:t> </w:t>
      </w:r>
      <w:r>
        <w:rPr/>
        <w:t>proveer</w:t>
      </w:r>
      <w:r>
        <w:rPr>
          <w:spacing w:val="-1"/>
        </w:rPr>
        <w:t> </w:t>
      </w:r>
      <w:r>
        <w:rPr/>
        <w:t>la prestación reclamada”. Ello</w:t>
      </w:r>
      <w:r>
        <w:rPr>
          <w:spacing w:val="1"/>
        </w:rPr>
        <w:t> </w:t>
      </w:r>
      <w:r>
        <w:rPr>
          <w:spacing w:val="-2"/>
        </w:rPr>
        <w:t>guarda</w:t>
      </w:r>
    </w:p>
    <w:p>
      <w:pPr>
        <w:pStyle w:val="BodyText"/>
        <w:spacing w:after="0" w:line="360" w:lineRule="auto"/>
        <w:jc w:val="both"/>
        <w:sectPr>
          <w:pgSz w:w="12240" w:h="15840"/>
          <w:pgMar w:header="294" w:footer="961" w:top="1780" w:bottom="1160" w:left="1440" w:right="1440"/>
        </w:sectPr>
      </w:pPr>
    </w:p>
    <w:p>
      <w:pPr>
        <w:pStyle w:val="BodyText"/>
        <w:spacing w:line="360" w:lineRule="auto" w:before="80"/>
        <w:ind w:right="257"/>
        <w:jc w:val="both"/>
      </w:pPr>
      <w:r>
        <w:rPr/>
        <w:t>relación con los informes acompañados en el marco del expediente principal (actuación N° 1212692/2024 del expediente N° 64280/2024-0). En síntesis, conforme el desarrollo efectuado, se advierte que los agravios vertidos por la parte apelante deben ser</w:t>
      </w:r>
      <w:r>
        <w:rPr>
          <w:spacing w:val="40"/>
        </w:rPr>
        <w:t> </w:t>
      </w:r>
      <w:r>
        <w:rPr/>
        <w:t>desestimados por no constituir una crítica concreta y razonada del fallo de grado. Sus cuestionamientos resultan manifestaciones genéricas, reiterativas (e incluso algunas consentidas) o desvinculadas a la situación ventilada en autos que, de ninguna manera, se abocan a refutar las particularidades de este caso. Por eso, al no encontrarse satisfechas las exigencias de la fundamentación, corresponde declarar desierto el recurso intentado (arts. 28 de la Ley Nº 2145, 238 y 239 del CCAyT —t.c.—). IX. Las costas deberán ser</w:t>
      </w:r>
      <w:r>
        <w:rPr>
          <w:spacing w:val="40"/>
        </w:rPr>
        <w:t> </w:t>
      </w:r>
      <w:r>
        <w:rPr/>
        <w:t>impuestas por</w:t>
      </w:r>
      <w:r>
        <w:rPr>
          <w:spacing w:val="-1"/>
        </w:rPr>
        <w:t> </w:t>
      </w:r>
      <w:r>
        <w:rPr/>
        <w:t>su orden, toda</w:t>
      </w:r>
      <w:r>
        <w:rPr>
          <w:spacing w:val="-1"/>
        </w:rPr>
        <w:t> </w:t>
      </w:r>
      <w:r>
        <w:rPr/>
        <w:t>vez que</w:t>
      </w:r>
      <w:r>
        <w:rPr>
          <w:spacing w:val="-1"/>
        </w:rPr>
        <w:t> </w:t>
      </w:r>
      <w:r>
        <w:rPr/>
        <w:t>no ha</w:t>
      </w:r>
      <w:r>
        <w:rPr>
          <w:spacing w:val="-1"/>
        </w:rPr>
        <w:t> </w:t>
      </w:r>
      <w:r>
        <w:rPr/>
        <w:t>mediado contradicción (cf.</w:t>
      </w:r>
      <w:r>
        <w:rPr>
          <w:spacing w:val="-1"/>
        </w:rPr>
        <w:t> </w:t>
      </w:r>
      <w:r>
        <w:rPr/>
        <w:t>arts. 28 de</w:t>
      </w:r>
      <w:r>
        <w:rPr>
          <w:spacing w:val="-1"/>
        </w:rPr>
        <w:t> </w:t>
      </w:r>
      <w:r>
        <w:rPr/>
        <w:t>la Ley</w:t>
      </w:r>
      <w:r>
        <w:rPr>
          <w:spacing w:val="-5"/>
        </w:rPr>
        <w:t> </w:t>
      </w:r>
      <w:r>
        <w:rPr/>
        <w:t>Nº 2145, 64, segundo párrafo y 65 del CCAyT), sin perjuicio de destacar que el</w:t>
      </w:r>
    </w:p>
    <w:p>
      <w:pPr>
        <w:pStyle w:val="BodyText"/>
        <w:spacing w:before="136"/>
        <w:ind w:left="0"/>
      </w:pPr>
    </w:p>
    <w:p>
      <w:pPr>
        <w:pStyle w:val="BodyText"/>
        <w:spacing w:line="360" w:lineRule="auto"/>
        <w:ind w:right="258" w:firstLine="707"/>
        <w:jc w:val="both"/>
      </w:pPr>
      <w:r>
        <w:rPr/>
        <w:t>Ministerio Público Tutelar actúa en cumplimiento de su cometido constitucional y legal. En mérito a las consideraciones vertidas, el Tribunal RESUELVE: 1) Declarar desierto</w:t>
      </w:r>
      <w:r>
        <w:rPr>
          <w:spacing w:val="-3"/>
        </w:rPr>
        <w:t> </w:t>
      </w:r>
      <w:r>
        <w:rPr/>
        <w:t>el</w:t>
      </w:r>
      <w:r>
        <w:rPr>
          <w:spacing w:val="-1"/>
        </w:rPr>
        <w:t> </w:t>
      </w:r>
      <w:r>
        <w:rPr/>
        <w:t>recurso</w:t>
      </w:r>
      <w:r>
        <w:rPr>
          <w:spacing w:val="-3"/>
        </w:rPr>
        <w:t> </w:t>
      </w:r>
      <w:r>
        <w:rPr/>
        <w:t>de</w:t>
      </w:r>
      <w:r>
        <w:rPr>
          <w:spacing w:val="-3"/>
        </w:rPr>
        <w:t> </w:t>
      </w:r>
      <w:r>
        <w:rPr/>
        <w:t>apelaciones</w:t>
      </w:r>
      <w:r>
        <w:rPr>
          <w:spacing w:val="-3"/>
        </w:rPr>
        <w:t> </w:t>
      </w:r>
      <w:r>
        <w:rPr/>
        <w:t>interpuesto</w:t>
      </w:r>
      <w:r>
        <w:rPr>
          <w:spacing w:val="-3"/>
        </w:rPr>
        <w:t> </w:t>
      </w:r>
      <w:r>
        <w:rPr/>
        <w:t>por</w:t>
      </w:r>
      <w:r>
        <w:rPr>
          <w:spacing w:val="-3"/>
        </w:rPr>
        <w:t> </w:t>
      </w:r>
      <w:r>
        <w:rPr/>
        <w:t>la</w:t>
      </w:r>
      <w:r>
        <w:rPr>
          <w:spacing w:val="-4"/>
        </w:rPr>
        <w:t> </w:t>
      </w:r>
      <w:r>
        <w:rPr/>
        <w:t>parte</w:t>
      </w:r>
      <w:r>
        <w:rPr>
          <w:spacing w:val="-4"/>
        </w:rPr>
        <w:t> </w:t>
      </w:r>
      <w:r>
        <w:rPr/>
        <w:t>demandada;</w:t>
      </w:r>
      <w:r>
        <w:rPr>
          <w:spacing w:val="-3"/>
        </w:rPr>
        <w:t> </w:t>
      </w:r>
      <w:r>
        <w:rPr/>
        <w:t>2) Imponer</w:t>
      </w:r>
      <w:r>
        <w:rPr>
          <w:spacing w:val="-3"/>
        </w:rPr>
        <w:t> </w:t>
      </w:r>
      <w:r>
        <w:rPr/>
        <w:t>las</w:t>
      </w:r>
      <w:r>
        <w:rPr>
          <w:spacing w:val="-1"/>
        </w:rPr>
        <w:t> </w:t>
      </w:r>
      <w:r>
        <w:rPr/>
        <w:t>costas por su orden, toda vez que no ha mediado contradicción (cf. arts. 28 de la Ley Nº 2145, 64, segundo párrafo y 65 del CCAyT), sin perjuicio de destacar que el Ministerio Público Tutelar</w:t>
      </w:r>
      <w:r>
        <w:rPr>
          <w:spacing w:val="-5"/>
        </w:rPr>
        <w:t> </w:t>
      </w:r>
      <w:r>
        <w:rPr/>
        <w:t>actúa</w:t>
      </w:r>
      <w:r>
        <w:rPr>
          <w:spacing w:val="-2"/>
        </w:rPr>
        <w:t> </w:t>
      </w:r>
      <w:r>
        <w:rPr/>
        <w:t>en</w:t>
      </w:r>
      <w:r>
        <w:rPr>
          <w:spacing w:val="-3"/>
        </w:rPr>
        <w:t> </w:t>
      </w:r>
      <w:r>
        <w:rPr/>
        <w:t>cumplimiento</w:t>
      </w:r>
      <w:r>
        <w:rPr>
          <w:spacing w:val="-3"/>
        </w:rPr>
        <w:t> </w:t>
      </w:r>
      <w:r>
        <w:rPr/>
        <w:t>de</w:t>
      </w:r>
      <w:r>
        <w:rPr>
          <w:spacing w:val="-3"/>
        </w:rPr>
        <w:t> </w:t>
      </w:r>
      <w:r>
        <w:rPr/>
        <w:t>su</w:t>
      </w:r>
      <w:r>
        <w:rPr>
          <w:spacing w:val="-3"/>
        </w:rPr>
        <w:t> </w:t>
      </w:r>
      <w:r>
        <w:rPr/>
        <w:t>cometido</w:t>
      </w:r>
      <w:r>
        <w:rPr>
          <w:spacing w:val="-1"/>
        </w:rPr>
        <w:t> </w:t>
      </w:r>
      <w:r>
        <w:rPr/>
        <w:t>constitucional</w:t>
      </w:r>
      <w:r>
        <w:rPr>
          <w:spacing w:val="-1"/>
        </w:rPr>
        <w:t> </w:t>
      </w:r>
      <w:r>
        <w:rPr/>
        <w:t>y</w:t>
      </w:r>
      <w:r>
        <w:rPr>
          <w:spacing w:val="-8"/>
        </w:rPr>
        <w:t> </w:t>
      </w:r>
      <w:r>
        <w:rPr/>
        <w:t>legal.</w:t>
      </w:r>
      <w:r>
        <w:rPr>
          <w:spacing w:val="-3"/>
        </w:rPr>
        <w:t> </w:t>
      </w:r>
      <w:r>
        <w:rPr/>
        <w:t>Téngase</w:t>
      </w:r>
      <w:r>
        <w:rPr>
          <w:spacing w:val="-4"/>
        </w:rPr>
        <w:t> </w:t>
      </w:r>
      <w:r>
        <w:rPr/>
        <w:t>por</w:t>
      </w:r>
      <w:r>
        <w:rPr>
          <w:spacing w:val="-2"/>
        </w:rPr>
        <w:t> </w:t>
      </w:r>
      <w:r>
        <w:rPr/>
        <w:t>cumplido el registro –cf. art. 11, resolución CM n°42/2017, anexo I, reemplazado por la resolución CM n° 19/2019-. Notifíquese por Secretaría a las partes y al Ministerio Público Tutelar y Fiscal. Oportunamente, devuélvase.</w:t>
      </w:r>
    </w:p>
    <w:p>
      <w:pPr>
        <w:pStyle w:val="BodyText"/>
        <w:spacing w:before="139"/>
        <w:ind w:left="0"/>
      </w:pPr>
    </w:p>
    <w:p>
      <w:pPr>
        <w:pStyle w:val="BodyText"/>
        <w:spacing w:line="720" w:lineRule="auto"/>
        <w:ind w:left="970"/>
      </w:pPr>
      <w:r>
        <w:rPr/>
        <w:t>Schafrik</w:t>
      </w:r>
      <w:r>
        <w:rPr>
          <w:spacing w:val="-3"/>
        </w:rPr>
        <w:t> </w:t>
      </w:r>
      <w:r>
        <w:rPr/>
        <w:t>Fabiana</w:t>
      </w:r>
      <w:r>
        <w:rPr>
          <w:spacing w:val="-3"/>
        </w:rPr>
        <w:t> </w:t>
      </w:r>
      <w:r>
        <w:rPr/>
        <w:t>Haydee jueza</w:t>
      </w:r>
      <w:r>
        <w:rPr>
          <w:spacing w:val="-4"/>
        </w:rPr>
        <w:t> </w:t>
      </w:r>
      <w:r>
        <w:rPr/>
        <w:t>de</w:t>
      </w:r>
      <w:r>
        <w:rPr>
          <w:spacing w:val="-4"/>
        </w:rPr>
        <w:t> </w:t>
      </w:r>
      <w:r>
        <w:rPr/>
        <w:t>cámara</w:t>
      </w:r>
      <w:r>
        <w:rPr>
          <w:spacing w:val="-5"/>
        </w:rPr>
        <w:t> </w:t>
      </w:r>
      <w:r>
        <w:rPr/>
        <w:t>cámara</w:t>
      </w:r>
      <w:r>
        <w:rPr>
          <w:spacing w:val="-2"/>
        </w:rPr>
        <w:t> </w:t>
      </w:r>
      <w:r>
        <w:rPr/>
        <w:t>de</w:t>
      </w:r>
      <w:r>
        <w:rPr>
          <w:spacing w:val="-4"/>
        </w:rPr>
        <w:t> </w:t>
      </w:r>
      <w:r>
        <w:rPr/>
        <w:t>apelaciones</w:t>
      </w:r>
      <w:r>
        <w:rPr>
          <w:spacing w:val="-3"/>
        </w:rPr>
        <w:t> </w:t>
      </w:r>
      <w:r>
        <w:rPr/>
        <w:t>en</w:t>
      </w:r>
      <w:r>
        <w:rPr>
          <w:spacing w:val="-3"/>
        </w:rPr>
        <w:t> </w:t>
      </w:r>
      <w:r>
        <w:rPr/>
        <w:t>lo</w:t>
      </w:r>
      <w:r>
        <w:rPr>
          <w:spacing w:val="-3"/>
        </w:rPr>
        <w:t> </w:t>
      </w:r>
      <w:r>
        <w:rPr/>
        <w:t>catyrc-</w:t>
      </w:r>
      <w:r>
        <w:rPr>
          <w:spacing w:val="-4"/>
        </w:rPr>
        <w:t> </w:t>
      </w:r>
      <w:r>
        <w:rPr/>
        <w:t>sala I Balbín Carlos Francisco juez de cámara cámara de apelaciones en lo catyrc - sala I Mántaras Pablo César juez de cámara cámara de apelaciones en lo catyrc - sala I</w:t>
      </w:r>
    </w:p>
    <w:sectPr>
      <w:pgSz w:w="12240" w:h="15840"/>
      <w:pgMar w:header="294" w:footer="961" w:top="1780" w:bottom="116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536640">
              <wp:simplePos x="0" y="0"/>
              <wp:positionH relativeFrom="page">
                <wp:posOffset>6951344</wp:posOffset>
              </wp:positionH>
              <wp:positionV relativeFrom="page">
                <wp:posOffset>9327515</wp:posOffset>
              </wp:positionV>
              <wp:extent cx="561975" cy="56197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561975" cy="561975"/>
                      </a:xfrm>
                      <a:custGeom>
                        <a:avLst/>
                        <a:gdLst/>
                        <a:ahLst/>
                        <a:cxnLst/>
                        <a:rect l="l" t="t" r="r" b="b"/>
                        <a:pathLst>
                          <a:path w="561975" h="561975">
                            <a:moveTo>
                              <a:pt x="280924" y="561974"/>
                            </a:moveTo>
                            <a:lnTo>
                              <a:pt x="235376" y="558297"/>
                            </a:lnTo>
                            <a:lnTo>
                              <a:pt x="192162" y="547650"/>
                            </a:lnTo>
                            <a:lnTo>
                              <a:pt x="151859" y="530613"/>
                            </a:lnTo>
                            <a:lnTo>
                              <a:pt x="115049" y="507763"/>
                            </a:lnTo>
                            <a:lnTo>
                              <a:pt x="82311" y="479678"/>
                            </a:lnTo>
                            <a:lnTo>
                              <a:pt x="54225" y="446938"/>
                            </a:lnTo>
                            <a:lnTo>
                              <a:pt x="31371" y="410121"/>
                            </a:lnTo>
                            <a:lnTo>
                              <a:pt x="14329" y="369804"/>
                            </a:lnTo>
                            <a:lnTo>
                              <a:pt x="3679" y="326567"/>
                            </a:lnTo>
                            <a:lnTo>
                              <a:pt x="0" y="280987"/>
                            </a:lnTo>
                            <a:lnTo>
                              <a:pt x="3679" y="235407"/>
                            </a:lnTo>
                            <a:lnTo>
                              <a:pt x="14329" y="192170"/>
                            </a:lnTo>
                            <a:lnTo>
                              <a:pt x="31371" y="151853"/>
                            </a:lnTo>
                            <a:lnTo>
                              <a:pt x="54225" y="115036"/>
                            </a:lnTo>
                            <a:lnTo>
                              <a:pt x="82311" y="82295"/>
                            </a:lnTo>
                            <a:lnTo>
                              <a:pt x="115049" y="54211"/>
                            </a:lnTo>
                            <a:lnTo>
                              <a:pt x="151859" y="31361"/>
                            </a:lnTo>
                            <a:lnTo>
                              <a:pt x="192162" y="14324"/>
                            </a:lnTo>
                            <a:lnTo>
                              <a:pt x="235376" y="3677"/>
                            </a:lnTo>
                            <a:lnTo>
                              <a:pt x="280924" y="0"/>
                            </a:lnTo>
                            <a:lnTo>
                              <a:pt x="326505" y="3677"/>
                            </a:lnTo>
                            <a:lnTo>
                              <a:pt x="369747" y="14324"/>
                            </a:lnTo>
                            <a:lnTo>
                              <a:pt x="410071" y="31361"/>
                            </a:lnTo>
                            <a:lnTo>
                              <a:pt x="446897" y="54211"/>
                            </a:lnTo>
                            <a:lnTo>
                              <a:pt x="479647" y="82295"/>
                            </a:lnTo>
                            <a:lnTo>
                              <a:pt x="507740" y="115036"/>
                            </a:lnTo>
                            <a:lnTo>
                              <a:pt x="530599" y="151853"/>
                            </a:lnTo>
                            <a:lnTo>
                              <a:pt x="547644" y="192170"/>
                            </a:lnTo>
                            <a:lnTo>
                              <a:pt x="558295" y="235407"/>
                            </a:lnTo>
                            <a:lnTo>
                              <a:pt x="561975" y="280987"/>
                            </a:lnTo>
                            <a:lnTo>
                              <a:pt x="558295" y="326567"/>
                            </a:lnTo>
                            <a:lnTo>
                              <a:pt x="547644" y="369804"/>
                            </a:lnTo>
                            <a:lnTo>
                              <a:pt x="530599" y="410121"/>
                            </a:lnTo>
                            <a:lnTo>
                              <a:pt x="507740" y="446938"/>
                            </a:lnTo>
                            <a:lnTo>
                              <a:pt x="479647" y="479678"/>
                            </a:lnTo>
                            <a:lnTo>
                              <a:pt x="446897" y="507763"/>
                            </a:lnTo>
                            <a:lnTo>
                              <a:pt x="410071" y="530613"/>
                            </a:lnTo>
                            <a:lnTo>
                              <a:pt x="369747" y="547650"/>
                            </a:lnTo>
                            <a:lnTo>
                              <a:pt x="326505" y="558297"/>
                            </a:lnTo>
                            <a:lnTo>
                              <a:pt x="280924" y="561974"/>
                            </a:lnTo>
                            <a:close/>
                          </a:path>
                        </a:pathLst>
                      </a:custGeom>
                      <a:ln w="12700">
                        <a:solidFill>
                          <a:srgbClr val="A7BEDE"/>
                        </a:solidFill>
                        <a:prstDash val="solid"/>
                      </a:ln>
                    </wps:spPr>
                    <wps:bodyPr wrap="square" lIns="0" tIns="0" rIns="0" bIns="0" rtlCol="0">
                      <a:prstTxWarp prst="textNoShape">
                        <a:avLst/>
                      </a:prstTxWarp>
                      <a:noAutofit/>
                    </wps:bodyPr>
                  </wps:wsp>
                </a:graphicData>
              </a:graphic>
            </wp:anchor>
          </w:drawing>
        </mc:Choice>
        <mc:Fallback>
          <w:pict>
            <v:shape style="position:absolute;margin-left:547.349976pt;margin-top:734.450012pt;width:44.25pt;height:44.25pt;mso-position-horizontal-relative:page;mso-position-vertical-relative:page;z-index:-15779840" id="docshape6" coordorigin="10947,14689" coordsize="885,885" path="m11389,15574l11318,15568,11250,15551,11186,15525,11128,15489,11077,15444,11032,15393,10996,15335,10970,15271,10953,15203,10947,15132,10953,15060,10970,14992,10996,14928,11032,14870,11077,14819,11128,14774,11186,14738,11250,14712,11318,14695,11389,14689,11461,14695,11529,14712,11593,14738,11651,14774,11702,14819,11747,14870,11783,14928,11809,14992,11826,15060,11832,15132,11826,15203,11809,15271,11783,15335,11747,15393,11702,15444,11651,15489,11593,15525,11529,15551,11461,15568,11389,15574xe" filled="false" stroked="true" strokeweight="1pt" strokecolor="#a7bede">
              <v:path arrowok="t"/>
              <v:stroke dashstyle="solid"/>
              <w10:wrap type="none"/>
            </v:shape>
          </w:pict>
        </mc:Fallback>
      </mc:AlternateContent>
    </w:r>
    <w:r>
      <w:rPr>
        <w:sz w:val="20"/>
      </w:rPr>
      <mc:AlternateContent>
        <mc:Choice Requires="wps">
          <w:drawing>
            <wp:anchor distT="0" distB="0" distL="0" distR="0" allowOverlap="1" layoutInCell="1" locked="0" behindDoc="1" simplePos="0" relativeHeight="487537152">
              <wp:simplePos x="0" y="0"/>
              <wp:positionH relativeFrom="page">
                <wp:posOffset>7066788</wp:posOffset>
              </wp:positionH>
              <wp:positionV relativeFrom="page">
                <wp:posOffset>9411241</wp:posOffset>
              </wp:positionV>
              <wp:extent cx="165100" cy="19431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65100" cy="194310"/>
                      </a:xfrm>
                      <a:prstGeom prst="rect">
                        <a:avLst/>
                      </a:prstGeom>
                    </wps:spPr>
                    <wps:txbx>
                      <w:txbxContent>
                        <w:p>
                          <w:pPr>
                            <w:pStyle w:val="BodyText"/>
                            <w:spacing w:before="10"/>
                            <w:ind w:left="60"/>
                          </w:pPr>
                          <w:r>
                            <w:rPr>
                              <w:color w:val="4F81BC"/>
                              <w:spacing w:val="-10"/>
                            </w:rPr>
                            <w:fldChar w:fldCharType="begin"/>
                          </w:r>
                          <w:r>
                            <w:rPr>
                              <w:color w:val="4F81BC"/>
                              <w:spacing w:val="-10"/>
                            </w:rPr>
                            <w:instrText> PAGE </w:instrText>
                          </w:r>
                          <w:r>
                            <w:rPr>
                              <w:color w:val="4F81BC"/>
                              <w:spacing w:val="-10"/>
                            </w:rPr>
                            <w:fldChar w:fldCharType="separate"/>
                          </w:r>
                          <w:r>
                            <w:rPr>
                              <w:color w:val="4F81BC"/>
                              <w:spacing w:val="-10"/>
                            </w:rPr>
                            <w:t>1</w:t>
                          </w:r>
                          <w:r>
                            <w:rPr>
                              <w:color w:val="4F81BC"/>
                              <w:spacing w:val="-10"/>
                            </w:rPr>
                            <w:fldChar w:fldCharType="end"/>
                          </w:r>
                        </w:p>
                      </w:txbxContent>
                    </wps:txbx>
                    <wps:bodyPr wrap="square" lIns="0" tIns="0" rIns="0" bIns="0" rtlCol="0">
                      <a:noAutofit/>
                    </wps:bodyPr>
                  </wps:wsp>
                </a:graphicData>
              </a:graphic>
            </wp:anchor>
          </w:drawing>
        </mc:Choice>
        <mc:Fallback>
          <w:pict>
            <v:shape style="position:absolute;margin-left:556.440002pt;margin-top:741.042664pt;width:13pt;height:15.3pt;mso-position-horizontal-relative:page;mso-position-vertical-relative:page;z-index:-15779328" type="#_x0000_t202" id="docshape7" filled="false" stroked="false">
              <v:textbox inset="0,0,0,0">
                <w:txbxContent>
                  <w:p>
                    <w:pPr>
                      <w:pStyle w:val="BodyText"/>
                      <w:spacing w:before="10"/>
                      <w:ind w:left="60"/>
                    </w:pPr>
                    <w:r>
                      <w:rPr>
                        <w:color w:val="4F81BC"/>
                        <w:spacing w:val="-10"/>
                      </w:rPr>
                      <w:fldChar w:fldCharType="begin"/>
                    </w:r>
                    <w:r>
                      <w:rPr>
                        <w:color w:val="4F81BC"/>
                        <w:spacing w:val="-10"/>
                      </w:rPr>
                      <w:instrText> PAGE </w:instrText>
                    </w:r>
                    <w:r>
                      <w:rPr>
                        <w:color w:val="4F81BC"/>
                        <w:spacing w:val="-10"/>
                      </w:rPr>
                      <w:fldChar w:fldCharType="separate"/>
                    </w:r>
                    <w:r>
                      <w:rPr>
                        <w:color w:val="4F81BC"/>
                        <w:spacing w:val="-10"/>
                      </w:rPr>
                      <w:t>1</w:t>
                    </w:r>
                    <w:r>
                      <w:rPr>
                        <w:color w:val="4F81BC"/>
                        <w:spacing w:val="-1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535616">
              <wp:simplePos x="0" y="0"/>
              <wp:positionH relativeFrom="page">
                <wp:posOffset>1062532</wp:posOffset>
              </wp:positionH>
              <wp:positionV relativeFrom="page">
                <wp:posOffset>186689</wp:posOffset>
              </wp:positionV>
              <wp:extent cx="6115050" cy="84137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115050" cy="841375"/>
                        <a:chExt cx="6115050" cy="841375"/>
                      </a:xfrm>
                    </wpg:grpSpPr>
                    <wps:wsp>
                      <wps:cNvPr id="2" name="Graphic 2"/>
                      <wps:cNvSpPr/>
                      <wps:spPr>
                        <a:xfrm>
                          <a:off x="0" y="634745"/>
                          <a:ext cx="5650865" cy="6350"/>
                        </a:xfrm>
                        <a:custGeom>
                          <a:avLst/>
                          <a:gdLst/>
                          <a:ahLst/>
                          <a:cxnLst/>
                          <a:rect l="l" t="t" r="r" b="b"/>
                          <a:pathLst>
                            <a:path w="5650865" h="6350">
                              <a:moveTo>
                                <a:pt x="5650738" y="0"/>
                              </a:moveTo>
                              <a:lnTo>
                                <a:pt x="0" y="0"/>
                              </a:lnTo>
                              <a:lnTo>
                                <a:pt x="0" y="6096"/>
                              </a:lnTo>
                              <a:lnTo>
                                <a:pt x="5650738" y="6096"/>
                              </a:lnTo>
                              <a:lnTo>
                                <a:pt x="5650738" y="0"/>
                              </a:lnTo>
                              <a:close/>
                            </a:path>
                          </a:pathLst>
                        </a:custGeom>
                        <a:solidFill>
                          <a:srgbClr val="4F81BC"/>
                        </a:solidFill>
                      </wps:spPr>
                      <wps:bodyPr wrap="square" lIns="0" tIns="0" rIns="0" bIns="0" rtlCol="0">
                        <a:prstTxWarp prst="textNoShape">
                          <a:avLst/>
                        </a:prstTxWarp>
                        <a:noAutofit/>
                      </wps:bodyPr>
                    </wps:wsp>
                    <pic:pic>
                      <pic:nvPicPr>
                        <pic:cNvPr id="3" name="Image 3"/>
                        <pic:cNvPicPr/>
                      </pic:nvPicPr>
                      <pic:blipFill>
                        <a:blip r:embed="rId1" cstate="print"/>
                        <a:stretch>
                          <a:fillRect/>
                        </a:stretch>
                      </pic:blipFill>
                      <pic:spPr>
                        <a:xfrm>
                          <a:off x="4770577" y="86360"/>
                          <a:ext cx="1344294" cy="661034"/>
                        </a:xfrm>
                        <a:prstGeom prst="rect">
                          <a:avLst/>
                        </a:prstGeom>
                      </pic:spPr>
                    </pic:pic>
                    <pic:pic>
                      <pic:nvPicPr>
                        <pic:cNvPr id="4" name="Image 4"/>
                        <pic:cNvPicPr/>
                      </pic:nvPicPr>
                      <pic:blipFill>
                        <a:blip r:embed="rId2" cstate="print"/>
                        <a:stretch>
                          <a:fillRect/>
                        </a:stretch>
                      </pic:blipFill>
                      <pic:spPr>
                        <a:xfrm>
                          <a:off x="55702" y="0"/>
                          <a:ext cx="866775" cy="841375"/>
                        </a:xfrm>
                        <a:prstGeom prst="rect">
                          <a:avLst/>
                        </a:prstGeom>
                      </pic:spPr>
                    </pic:pic>
                  </wpg:wgp>
                </a:graphicData>
              </a:graphic>
            </wp:anchor>
          </w:drawing>
        </mc:Choice>
        <mc:Fallback>
          <w:pict>
            <v:group style="position:absolute;margin-left:83.664001pt;margin-top:14.7pt;width:481.5pt;height:66.25pt;mso-position-horizontal-relative:page;mso-position-vertical-relative:page;z-index:-15780864" id="docshapegroup1" coordorigin="1673,294" coordsize="9630,1325">
              <v:rect style="position:absolute;left:1673;top:1293;width:8899;height:10" id="docshape2" filled="true" fillcolor="#4f81bc" stroked="false">
                <v:fill type="solid"/>
              </v:rect>
              <v:shape style="position:absolute;left:9186;top:430;width:2117;height:1041" type="#_x0000_t75" id="docshape3" stroked="false">
                <v:imagedata r:id="rId1" o:title=""/>
              </v:shape>
              <v:shape style="position:absolute;left:1761;top:294;width:1365;height:1325" type="#_x0000_t75" id="docshape4" stroked="false">
                <v:imagedata r:id="rId2" o:title=""/>
              </v:shape>
              <w10:wrap type="none"/>
            </v:group>
          </w:pict>
        </mc:Fallback>
      </mc:AlternateContent>
    </w:r>
    <w:r>
      <w:rPr>
        <w:sz w:val="20"/>
      </w:rPr>
      <mc:AlternateContent>
        <mc:Choice Requires="wps">
          <w:drawing>
            <wp:anchor distT="0" distB="0" distL="0" distR="0" allowOverlap="1" layoutInCell="1" locked="0" behindDoc="1" simplePos="0" relativeHeight="487536128">
              <wp:simplePos x="0" y="0"/>
              <wp:positionH relativeFrom="page">
                <wp:posOffset>2459863</wp:posOffset>
              </wp:positionH>
              <wp:positionV relativeFrom="page">
                <wp:posOffset>645287</wp:posOffset>
              </wp:positionV>
              <wp:extent cx="2849880" cy="36068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849880" cy="360680"/>
                      </a:xfrm>
                      <a:prstGeom prst="rect">
                        <a:avLst/>
                      </a:prstGeom>
                    </wps:spPr>
                    <wps:txbx>
                      <w:txbxContent>
                        <w:p>
                          <w:pPr>
                            <w:spacing w:line="223" w:lineRule="exact" w:before="0"/>
                            <w:ind w:left="20" w:right="0" w:firstLine="0"/>
                            <w:jc w:val="left"/>
                            <w:rPr>
                              <w:rFonts w:ascii="Calibri"/>
                              <w:sz w:val="20"/>
                            </w:rPr>
                          </w:pPr>
                          <w:r>
                            <w:rPr>
                              <w:rFonts w:ascii="Calibri"/>
                              <w:sz w:val="20"/>
                            </w:rPr>
                            <w:t>Biblioteca</w:t>
                          </w:r>
                          <w:r>
                            <w:rPr>
                              <w:rFonts w:ascii="Calibri"/>
                              <w:spacing w:val="-9"/>
                              <w:sz w:val="20"/>
                            </w:rPr>
                            <w:t> </w:t>
                          </w:r>
                          <w:r>
                            <w:rPr>
                              <w:rFonts w:ascii="Calibri"/>
                              <w:sz w:val="20"/>
                            </w:rPr>
                            <w:t>Digital</w:t>
                          </w:r>
                          <w:r>
                            <w:rPr>
                              <w:rFonts w:ascii="Calibri"/>
                              <w:spacing w:val="-7"/>
                              <w:sz w:val="20"/>
                            </w:rPr>
                            <w:t> </w:t>
                          </w:r>
                          <w:r>
                            <w:rPr>
                              <w:rFonts w:ascii="Calibri"/>
                              <w:sz w:val="20"/>
                            </w:rPr>
                            <w:t>de</w:t>
                          </w:r>
                          <w:r>
                            <w:rPr>
                              <w:rFonts w:ascii="Calibri"/>
                              <w:spacing w:val="-9"/>
                              <w:sz w:val="20"/>
                            </w:rPr>
                            <w:t> </w:t>
                          </w:r>
                          <w:r>
                            <w:rPr>
                              <w:rFonts w:ascii="Calibri"/>
                              <w:sz w:val="20"/>
                            </w:rPr>
                            <w:t>Jurisprudencia</w:t>
                          </w:r>
                          <w:r>
                            <w:rPr>
                              <w:rFonts w:ascii="Calibri"/>
                              <w:spacing w:val="-7"/>
                              <w:sz w:val="20"/>
                            </w:rPr>
                            <w:t> </w:t>
                          </w:r>
                          <w:r>
                            <w:rPr>
                              <w:rFonts w:ascii="Calibri"/>
                              <w:sz w:val="20"/>
                            </w:rPr>
                            <w:t>sobre</w:t>
                          </w:r>
                          <w:r>
                            <w:rPr>
                              <w:rFonts w:ascii="Calibri"/>
                              <w:spacing w:val="-9"/>
                              <w:sz w:val="20"/>
                            </w:rPr>
                            <w:t> </w:t>
                          </w:r>
                          <w:r>
                            <w:rPr>
                              <w:rFonts w:ascii="Calibri"/>
                              <w:spacing w:val="-2"/>
                              <w:sz w:val="20"/>
                            </w:rPr>
                            <w:t>Discapacidad</w:t>
                          </w:r>
                        </w:p>
                        <w:p>
                          <w:pPr>
                            <w:spacing w:before="84"/>
                            <w:ind w:left="994" w:right="0" w:firstLine="0"/>
                            <w:jc w:val="left"/>
                            <w:rPr>
                              <w:rFonts w:ascii="Calibri"/>
                              <w:sz w:val="20"/>
                            </w:rPr>
                          </w:pPr>
                          <w:r>
                            <w:rPr>
                              <w:rFonts w:ascii="Calibri"/>
                              <w:sz w:val="20"/>
                            </w:rPr>
                            <w:t>Facultad</w:t>
                          </w:r>
                          <w:r>
                            <w:rPr>
                              <w:rFonts w:ascii="Calibri"/>
                              <w:spacing w:val="-6"/>
                              <w:sz w:val="20"/>
                            </w:rPr>
                            <w:t> </w:t>
                          </w:r>
                          <w:r>
                            <w:rPr>
                              <w:rFonts w:ascii="Calibri"/>
                              <w:sz w:val="20"/>
                            </w:rPr>
                            <w:t>de</w:t>
                          </w:r>
                          <w:r>
                            <w:rPr>
                              <w:rFonts w:ascii="Calibri"/>
                              <w:spacing w:val="-5"/>
                              <w:sz w:val="20"/>
                            </w:rPr>
                            <w:t> </w:t>
                          </w:r>
                          <w:r>
                            <w:rPr>
                              <w:rFonts w:ascii="Calibri"/>
                              <w:sz w:val="20"/>
                            </w:rPr>
                            <w:t>Derecho</w:t>
                          </w:r>
                          <w:r>
                            <w:rPr>
                              <w:rFonts w:ascii="Calibri"/>
                              <w:spacing w:val="-2"/>
                              <w:sz w:val="20"/>
                            </w:rPr>
                            <w:t> </w:t>
                          </w:r>
                          <w:r>
                            <w:rPr>
                              <w:rFonts w:ascii="Calibri"/>
                              <w:sz w:val="20"/>
                            </w:rPr>
                            <w:t>-</w:t>
                          </w:r>
                          <w:r>
                            <w:rPr>
                              <w:rFonts w:ascii="Calibri"/>
                              <w:spacing w:val="-6"/>
                              <w:sz w:val="20"/>
                            </w:rPr>
                            <w:t> </w:t>
                          </w:r>
                          <w:r>
                            <w:rPr>
                              <w:rFonts w:ascii="Calibri"/>
                              <w:spacing w:val="-5"/>
                              <w:sz w:val="20"/>
                            </w:rPr>
                            <w:t>UBA</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3.690002pt;margin-top:50.810001pt;width:224.4pt;height:28.4pt;mso-position-horizontal-relative:page;mso-position-vertical-relative:page;z-index:-15780352" type="#_x0000_t202" id="docshape5" filled="false" stroked="false">
              <v:textbox inset="0,0,0,0">
                <w:txbxContent>
                  <w:p>
                    <w:pPr>
                      <w:spacing w:line="223" w:lineRule="exact" w:before="0"/>
                      <w:ind w:left="20" w:right="0" w:firstLine="0"/>
                      <w:jc w:val="left"/>
                      <w:rPr>
                        <w:rFonts w:ascii="Calibri"/>
                        <w:sz w:val="20"/>
                      </w:rPr>
                    </w:pPr>
                    <w:r>
                      <w:rPr>
                        <w:rFonts w:ascii="Calibri"/>
                        <w:sz w:val="20"/>
                      </w:rPr>
                      <w:t>Biblioteca</w:t>
                    </w:r>
                    <w:r>
                      <w:rPr>
                        <w:rFonts w:ascii="Calibri"/>
                        <w:spacing w:val="-9"/>
                        <w:sz w:val="20"/>
                      </w:rPr>
                      <w:t> </w:t>
                    </w:r>
                    <w:r>
                      <w:rPr>
                        <w:rFonts w:ascii="Calibri"/>
                        <w:sz w:val="20"/>
                      </w:rPr>
                      <w:t>Digital</w:t>
                    </w:r>
                    <w:r>
                      <w:rPr>
                        <w:rFonts w:ascii="Calibri"/>
                        <w:spacing w:val="-7"/>
                        <w:sz w:val="20"/>
                      </w:rPr>
                      <w:t> </w:t>
                    </w:r>
                    <w:r>
                      <w:rPr>
                        <w:rFonts w:ascii="Calibri"/>
                        <w:sz w:val="20"/>
                      </w:rPr>
                      <w:t>de</w:t>
                    </w:r>
                    <w:r>
                      <w:rPr>
                        <w:rFonts w:ascii="Calibri"/>
                        <w:spacing w:val="-9"/>
                        <w:sz w:val="20"/>
                      </w:rPr>
                      <w:t> </w:t>
                    </w:r>
                    <w:r>
                      <w:rPr>
                        <w:rFonts w:ascii="Calibri"/>
                        <w:sz w:val="20"/>
                      </w:rPr>
                      <w:t>Jurisprudencia</w:t>
                    </w:r>
                    <w:r>
                      <w:rPr>
                        <w:rFonts w:ascii="Calibri"/>
                        <w:spacing w:val="-7"/>
                        <w:sz w:val="20"/>
                      </w:rPr>
                      <w:t> </w:t>
                    </w:r>
                    <w:r>
                      <w:rPr>
                        <w:rFonts w:ascii="Calibri"/>
                        <w:sz w:val="20"/>
                      </w:rPr>
                      <w:t>sobre</w:t>
                    </w:r>
                    <w:r>
                      <w:rPr>
                        <w:rFonts w:ascii="Calibri"/>
                        <w:spacing w:val="-9"/>
                        <w:sz w:val="20"/>
                      </w:rPr>
                      <w:t> </w:t>
                    </w:r>
                    <w:r>
                      <w:rPr>
                        <w:rFonts w:ascii="Calibri"/>
                        <w:spacing w:val="-2"/>
                        <w:sz w:val="20"/>
                      </w:rPr>
                      <w:t>Discapacidad</w:t>
                    </w:r>
                  </w:p>
                  <w:p>
                    <w:pPr>
                      <w:spacing w:before="84"/>
                      <w:ind w:left="994" w:right="0" w:firstLine="0"/>
                      <w:jc w:val="left"/>
                      <w:rPr>
                        <w:rFonts w:ascii="Calibri"/>
                        <w:sz w:val="20"/>
                      </w:rPr>
                    </w:pPr>
                    <w:r>
                      <w:rPr>
                        <w:rFonts w:ascii="Calibri"/>
                        <w:sz w:val="20"/>
                      </w:rPr>
                      <w:t>Facultad</w:t>
                    </w:r>
                    <w:r>
                      <w:rPr>
                        <w:rFonts w:ascii="Calibri"/>
                        <w:spacing w:val="-6"/>
                        <w:sz w:val="20"/>
                      </w:rPr>
                      <w:t> </w:t>
                    </w:r>
                    <w:r>
                      <w:rPr>
                        <w:rFonts w:ascii="Calibri"/>
                        <w:sz w:val="20"/>
                      </w:rPr>
                      <w:t>de</w:t>
                    </w:r>
                    <w:r>
                      <w:rPr>
                        <w:rFonts w:ascii="Calibri"/>
                        <w:spacing w:val="-5"/>
                        <w:sz w:val="20"/>
                      </w:rPr>
                      <w:t> </w:t>
                    </w:r>
                    <w:r>
                      <w:rPr>
                        <w:rFonts w:ascii="Calibri"/>
                        <w:sz w:val="20"/>
                      </w:rPr>
                      <w:t>Derecho</w:t>
                    </w:r>
                    <w:r>
                      <w:rPr>
                        <w:rFonts w:ascii="Calibri"/>
                        <w:spacing w:val="-2"/>
                        <w:sz w:val="20"/>
                      </w:rPr>
                      <w:t> </w:t>
                    </w:r>
                    <w:r>
                      <w:rPr>
                        <w:rFonts w:ascii="Calibri"/>
                        <w:sz w:val="20"/>
                      </w:rPr>
                      <w:t>-</w:t>
                    </w:r>
                    <w:r>
                      <w:rPr>
                        <w:rFonts w:ascii="Calibri"/>
                        <w:spacing w:val="-6"/>
                        <w:sz w:val="20"/>
                      </w:rPr>
                      <w:t> </w:t>
                    </w:r>
                    <w:r>
                      <w:rPr>
                        <w:rFonts w:ascii="Calibri"/>
                        <w:spacing w:val="-5"/>
                        <w:sz w:val="20"/>
                      </w:rPr>
                      <w:t>UBA</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262" w:hanging="219"/>
        <w:jc w:val="left"/>
      </w:pPr>
      <w:rPr>
        <w:rFonts w:hint="default" w:ascii="Times New Roman" w:hAnsi="Times New Roman" w:eastAsia="Times New Roman" w:cs="Times New Roman"/>
        <w:b w:val="0"/>
        <w:bCs w:val="0"/>
        <w:i w:val="0"/>
        <w:iCs w:val="0"/>
        <w:spacing w:val="-4"/>
        <w:w w:val="100"/>
        <w:sz w:val="24"/>
        <w:szCs w:val="24"/>
        <w:lang w:val="es-ES" w:eastAsia="en-US" w:bidi="ar-SA"/>
      </w:rPr>
    </w:lvl>
    <w:lvl w:ilvl="1">
      <w:start w:val="0"/>
      <w:numFmt w:val="bullet"/>
      <w:lvlText w:val="•"/>
      <w:lvlJc w:val="left"/>
      <w:pPr>
        <w:ind w:left="1170" w:hanging="219"/>
      </w:pPr>
      <w:rPr>
        <w:rFonts w:hint="default"/>
        <w:lang w:val="es-ES" w:eastAsia="en-US" w:bidi="ar-SA"/>
      </w:rPr>
    </w:lvl>
    <w:lvl w:ilvl="2">
      <w:start w:val="0"/>
      <w:numFmt w:val="bullet"/>
      <w:lvlText w:val="•"/>
      <w:lvlJc w:val="left"/>
      <w:pPr>
        <w:ind w:left="2080" w:hanging="219"/>
      </w:pPr>
      <w:rPr>
        <w:rFonts w:hint="default"/>
        <w:lang w:val="es-ES" w:eastAsia="en-US" w:bidi="ar-SA"/>
      </w:rPr>
    </w:lvl>
    <w:lvl w:ilvl="3">
      <w:start w:val="0"/>
      <w:numFmt w:val="bullet"/>
      <w:lvlText w:val="•"/>
      <w:lvlJc w:val="left"/>
      <w:pPr>
        <w:ind w:left="2990" w:hanging="219"/>
      </w:pPr>
      <w:rPr>
        <w:rFonts w:hint="default"/>
        <w:lang w:val="es-ES" w:eastAsia="en-US" w:bidi="ar-SA"/>
      </w:rPr>
    </w:lvl>
    <w:lvl w:ilvl="4">
      <w:start w:val="0"/>
      <w:numFmt w:val="bullet"/>
      <w:lvlText w:val="•"/>
      <w:lvlJc w:val="left"/>
      <w:pPr>
        <w:ind w:left="3900" w:hanging="219"/>
      </w:pPr>
      <w:rPr>
        <w:rFonts w:hint="default"/>
        <w:lang w:val="es-ES" w:eastAsia="en-US" w:bidi="ar-SA"/>
      </w:rPr>
    </w:lvl>
    <w:lvl w:ilvl="5">
      <w:start w:val="0"/>
      <w:numFmt w:val="bullet"/>
      <w:lvlText w:val="•"/>
      <w:lvlJc w:val="left"/>
      <w:pPr>
        <w:ind w:left="4810" w:hanging="219"/>
      </w:pPr>
      <w:rPr>
        <w:rFonts w:hint="default"/>
        <w:lang w:val="es-ES" w:eastAsia="en-US" w:bidi="ar-SA"/>
      </w:rPr>
    </w:lvl>
    <w:lvl w:ilvl="6">
      <w:start w:val="0"/>
      <w:numFmt w:val="bullet"/>
      <w:lvlText w:val="•"/>
      <w:lvlJc w:val="left"/>
      <w:pPr>
        <w:ind w:left="5720" w:hanging="219"/>
      </w:pPr>
      <w:rPr>
        <w:rFonts w:hint="default"/>
        <w:lang w:val="es-ES" w:eastAsia="en-US" w:bidi="ar-SA"/>
      </w:rPr>
    </w:lvl>
    <w:lvl w:ilvl="7">
      <w:start w:val="0"/>
      <w:numFmt w:val="bullet"/>
      <w:lvlText w:val="•"/>
      <w:lvlJc w:val="left"/>
      <w:pPr>
        <w:ind w:left="6630" w:hanging="219"/>
      </w:pPr>
      <w:rPr>
        <w:rFonts w:hint="default"/>
        <w:lang w:val="es-ES" w:eastAsia="en-US" w:bidi="ar-SA"/>
      </w:rPr>
    </w:lvl>
    <w:lvl w:ilvl="8">
      <w:start w:val="0"/>
      <w:numFmt w:val="bullet"/>
      <w:lvlText w:val="•"/>
      <w:lvlJc w:val="left"/>
      <w:pPr>
        <w:ind w:left="7540" w:hanging="219"/>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ind w:left="262"/>
    </w:pPr>
    <w:rPr>
      <w:rFonts w:ascii="Times New Roman" w:hAnsi="Times New Roman" w:eastAsia="Times New Roman" w:cs="Times New Roman"/>
      <w:sz w:val="24"/>
      <w:szCs w:val="24"/>
      <w:lang w:val="es-ES" w:eastAsia="en-US" w:bidi="ar-SA"/>
    </w:rPr>
  </w:style>
  <w:style w:styleId="ListParagraph" w:type="paragraph">
    <w:name w:val="List Paragraph"/>
    <w:basedOn w:val="Normal"/>
    <w:uiPriority w:val="1"/>
    <w:qFormat/>
    <w:pPr>
      <w:ind w:left="262" w:right="258" w:firstLine="707"/>
      <w:jc w:val="both"/>
    </w:pPr>
    <w:rPr>
      <w:rFonts w:ascii="Times New Roman" w:hAnsi="Times New Roman" w:eastAsia="Times New Roman" w:cs="Times New Roman"/>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Carrera</dc:creator>
  <dc:title>Base de Datos de Jurisprudencia sobre Discapacidad</dc:title>
  <dcterms:created xsi:type="dcterms:W3CDTF">2025-03-31T19:41:24Z</dcterms:created>
  <dcterms:modified xsi:type="dcterms:W3CDTF">2025-03-31T19:41:24Z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Creator">
    <vt:lpwstr>Microsoft® Office Word 2007</vt:lpwstr>
  </property>
  <property fmtid="{D5CDD505-2E9C-101B-9397-08002B2CF9AE}" pid="4" name="LastSaved">
    <vt:filetime>2025-03-31T00:00:00Z</vt:filetime>
  </property>
  <property fmtid="{D5CDD505-2E9C-101B-9397-08002B2CF9AE}" pid="5" name="Producer">
    <vt:lpwstr>Microsoft® Office Word 2007</vt:lpwstr>
  </property>
</Properties>
</file>